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4A7" w:rsidRPr="00ED7AA9" w:rsidRDefault="00D944A7">
      <w:pPr>
        <w:rPr>
          <w:sz w:val="24"/>
          <w:szCs w:val="24"/>
        </w:rPr>
      </w:pPr>
      <w:r w:rsidRPr="00ED7AA9">
        <w:rPr>
          <w:sz w:val="24"/>
          <w:szCs w:val="24"/>
        </w:rPr>
        <w:t xml:space="preserve">Instructional Materials Evaluation for Alignment:  Guidelines for Textbook </w:t>
      </w:r>
    </w:p>
    <w:p w:rsidR="00D80ED6" w:rsidRDefault="00D944A7">
      <w:r>
        <w:t>Subject:  Science K-12</w:t>
      </w:r>
    </w:p>
    <w:p w:rsidR="00151FD8" w:rsidRDefault="00151FD8">
      <w:pPr>
        <w:rPr>
          <w:b/>
        </w:rPr>
      </w:pPr>
    </w:p>
    <w:p w:rsidR="00151FD8" w:rsidRPr="00151FD8" w:rsidRDefault="00151FD8">
      <w:pPr>
        <w:rPr>
          <w:b/>
        </w:rPr>
      </w:pPr>
      <w:r>
        <w:rPr>
          <w:noProof/>
        </w:rPr>
        <mc:AlternateContent>
          <mc:Choice Requires="wps">
            <w:drawing>
              <wp:anchor distT="0" distB="0" distL="114300" distR="114300" simplePos="0" relativeHeight="251659264" behindDoc="0" locked="0" layoutInCell="1" allowOverlap="1" wp14:anchorId="5399CF97" wp14:editId="4EBDB1F7">
                <wp:simplePos x="0" y="0"/>
                <wp:positionH relativeFrom="column">
                  <wp:posOffset>0</wp:posOffset>
                </wp:positionH>
                <wp:positionV relativeFrom="paragraph">
                  <wp:posOffset>0</wp:posOffset>
                </wp:positionV>
                <wp:extent cx="1828800" cy="1828800"/>
                <wp:effectExtent l="0" t="0" r="24130" b="158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solidFill>
                            <a:prstClr val="black"/>
                          </a:solidFill>
                        </a:ln>
                      </wps:spPr>
                      <wps:txbx>
                        <w:txbxContent>
                          <w:p w:rsidR="00151FD8" w:rsidRDefault="00151FD8">
                            <w:pPr>
                              <w:rPr>
                                <w:b/>
                              </w:rPr>
                            </w:pPr>
                            <w:r>
                              <w:rPr>
                                <w:b/>
                              </w:rPr>
                              <w:t>Use the following Rubric to Rate each Criteria Indicator</w:t>
                            </w:r>
                          </w:p>
                          <w:p w:rsidR="00151FD8" w:rsidRPr="006205C4" w:rsidRDefault="00151FD8" w:rsidP="006205C4">
                            <w:pPr>
                              <w:rPr>
                                <w:b/>
                              </w:rPr>
                            </w:pPr>
                            <w:r>
                              <w:rPr>
                                <w:b/>
                              </w:rPr>
                              <w:t xml:space="preserve">STRONG EVIDENCE (meets 80-100%) = 5; </w:t>
                            </w:r>
                            <w:r>
                              <w:rPr>
                                <w:b/>
                              </w:rPr>
                              <w:tab/>
                              <w:t xml:space="preserve">MODERATE EVIDENCE (meets 50 – 79%) = 3; </w:t>
                            </w:r>
                            <w:r>
                              <w:rPr>
                                <w:b/>
                              </w:rPr>
                              <w:tab/>
                              <w:t>NO EVIDENCE (meets less than 50%) = 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99CF97"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" filled="f">
                <v:fill o:detectmouseclick="t"/>
                <v:textbox style="mso-fit-shape-to-text:t">
                  <w:txbxContent>
                    <w:p w:rsidR="00151FD8" w:rsidRDefault="00151FD8">
                      <w:pPr>
                        <w:rPr>
                          <w:b/>
                        </w:rPr>
                      </w:pPr>
                      <w:r>
                        <w:rPr>
                          <w:b/>
                        </w:rPr>
                        <w:t>Use the following Rubric to Rate each Criteria Indicator</w:t>
                      </w:r>
                    </w:p>
                    <w:p w:rsidR="00151FD8" w:rsidRPr="006205C4" w:rsidRDefault="00151FD8" w:rsidP="006205C4">
                      <w:pPr>
                        <w:rPr>
                          <w:b/>
                        </w:rPr>
                      </w:pPr>
                      <w:r>
                        <w:rPr>
                          <w:b/>
                        </w:rPr>
                        <w:t xml:space="preserve">STRONG EVIDENCE (meets 80-100%) = 5; </w:t>
                      </w:r>
                      <w:r>
                        <w:rPr>
                          <w:b/>
                        </w:rPr>
                        <w:tab/>
                        <w:t xml:space="preserve">MODERATE EVIDENCE (meets 50 – 79%) = 3; </w:t>
                      </w:r>
                      <w:r>
                        <w:rPr>
                          <w:b/>
                        </w:rPr>
                        <w:tab/>
                        <w:t>NO EVIDENCE (meets less than 50%) = 0</w:t>
                      </w:r>
                    </w:p>
                  </w:txbxContent>
                </v:textbox>
                <w10:wrap type="square"/>
              </v:shape>
            </w:pict>
          </mc:Fallback>
        </mc:AlternateContent>
      </w:r>
      <w:r>
        <w:rPr>
          <w:b/>
        </w:rPr>
        <w:tab/>
      </w:r>
    </w:p>
    <w:p w:rsidR="00D944A7" w:rsidRPr="003663F2" w:rsidRDefault="00D944A7">
      <w:pPr>
        <w:rPr>
          <w:b/>
          <w:sz w:val="24"/>
          <w:szCs w:val="24"/>
        </w:rPr>
      </w:pPr>
      <w:r w:rsidRPr="003663F2">
        <w:rPr>
          <w:b/>
          <w:sz w:val="24"/>
          <w:szCs w:val="24"/>
        </w:rPr>
        <w:t xml:space="preserve">Section 1:  Alignment to Standards – This is a requirement for submission.  </w:t>
      </w:r>
    </w:p>
    <w:tbl>
      <w:tblPr>
        <w:tblStyle w:val="TableGrid"/>
        <w:tblW w:w="0" w:type="auto"/>
        <w:tblLook w:val="0480" w:firstRow="0" w:lastRow="0" w:firstColumn="1" w:lastColumn="0" w:noHBand="0" w:noVBand="1"/>
      </w:tblPr>
      <w:tblGrid>
        <w:gridCol w:w="4727"/>
        <w:gridCol w:w="5519"/>
        <w:gridCol w:w="990"/>
        <w:gridCol w:w="2002"/>
      </w:tblGrid>
      <w:tr w:rsidR="00ED7AA9" w:rsidTr="00ED7AA9">
        <w:tc>
          <w:tcPr>
            <w:tcW w:w="0" w:type="auto"/>
            <w:shd w:val="clear" w:color="auto" w:fill="F2F2F2" w:themeFill="background1" w:themeFillShade="F2"/>
          </w:tcPr>
          <w:p w:rsidR="00C342A4" w:rsidRPr="00C342A4" w:rsidRDefault="00C342A4" w:rsidP="00C342A4">
            <w:pPr>
              <w:jc w:val="center"/>
              <w:rPr>
                <w:b/>
              </w:rPr>
            </w:pPr>
            <w:r w:rsidRPr="00C342A4">
              <w:rPr>
                <w:b/>
              </w:rPr>
              <w:t>CRITERIA</w:t>
            </w:r>
          </w:p>
        </w:tc>
        <w:tc>
          <w:tcPr>
            <w:tcW w:w="5519" w:type="dxa"/>
            <w:shd w:val="clear" w:color="auto" w:fill="F2F2F2" w:themeFill="background1" w:themeFillShade="F2"/>
          </w:tcPr>
          <w:p w:rsidR="00C342A4" w:rsidRPr="00C342A4" w:rsidRDefault="00C342A4" w:rsidP="00C342A4">
            <w:pPr>
              <w:jc w:val="center"/>
              <w:rPr>
                <w:b/>
              </w:rPr>
            </w:pPr>
            <w:r w:rsidRPr="00C342A4">
              <w:rPr>
                <w:b/>
              </w:rPr>
              <w:t>INDICATORS OF SUPERIOR QUALITY</w:t>
            </w:r>
          </w:p>
        </w:tc>
        <w:tc>
          <w:tcPr>
            <w:tcW w:w="990" w:type="dxa"/>
            <w:shd w:val="clear" w:color="auto" w:fill="F2F2F2" w:themeFill="background1" w:themeFillShade="F2"/>
          </w:tcPr>
          <w:p w:rsidR="00C342A4" w:rsidRDefault="00151FD8" w:rsidP="00C342A4">
            <w:pPr>
              <w:jc w:val="center"/>
              <w:rPr>
                <w:b/>
              </w:rPr>
            </w:pPr>
            <w:r>
              <w:rPr>
                <w:b/>
              </w:rPr>
              <w:t>RATING</w:t>
            </w:r>
          </w:p>
          <w:p w:rsidR="00151FD8" w:rsidRPr="00151FD8" w:rsidRDefault="00151FD8" w:rsidP="00C342A4">
            <w:pPr>
              <w:jc w:val="center"/>
              <w:rPr>
                <w:b/>
              </w:rPr>
            </w:pPr>
            <w:r>
              <w:rPr>
                <w:b/>
              </w:rPr>
              <w:t>5, 3, 0</w:t>
            </w:r>
          </w:p>
        </w:tc>
        <w:tc>
          <w:tcPr>
            <w:tcW w:w="0" w:type="auto"/>
            <w:shd w:val="clear" w:color="auto" w:fill="F2F2F2" w:themeFill="background1" w:themeFillShade="F2"/>
          </w:tcPr>
          <w:p w:rsidR="00C342A4" w:rsidRPr="00C342A4" w:rsidRDefault="00C342A4" w:rsidP="00C342A4">
            <w:pPr>
              <w:jc w:val="center"/>
              <w:rPr>
                <w:b/>
              </w:rPr>
            </w:pPr>
            <w:r w:rsidRPr="00C342A4">
              <w:rPr>
                <w:b/>
              </w:rPr>
              <w:t>COMMENTS WITH EXAMPLES</w:t>
            </w:r>
          </w:p>
        </w:tc>
      </w:tr>
      <w:tr w:rsidR="00505F16" w:rsidTr="00ED7AA9">
        <w:tc>
          <w:tcPr>
            <w:tcW w:w="0" w:type="auto"/>
            <w:vMerge w:val="restart"/>
          </w:tcPr>
          <w:p w:rsidR="00C342A4" w:rsidRPr="00987F47" w:rsidRDefault="00987F47" w:rsidP="00D944A7">
            <w:pPr>
              <w:pStyle w:val="ListParagraph"/>
              <w:numPr>
                <w:ilvl w:val="0"/>
                <w:numId w:val="5"/>
              </w:numPr>
              <w:ind w:left="360"/>
              <w:rPr>
                <w:b/>
              </w:rPr>
            </w:pPr>
            <w:r w:rsidRPr="00987F47">
              <w:rPr>
                <w:b/>
              </w:rPr>
              <w:t>ALIGNMENT AND ACCURACY</w:t>
            </w:r>
          </w:p>
          <w:p w:rsidR="00C342A4" w:rsidRDefault="00C342A4" w:rsidP="00D944A7">
            <w:pPr>
              <w:rPr>
                <w:i/>
              </w:rPr>
            </w:pPr>
            <w:r>
              <w:t xml:space="preserve">Materials adequately address the </w:t>
            </w:r>
            <w:r>
              <w:br/>
            </w:r>
            <w:r>
              <w:rPr>
                <w:i/>
              </w:rPr>
              <w:t xml:space="preserve">Mississippi College- and Career-Readiness </w:t>
            </w:r>
          </w:p>
          <w:p w:rsidR="00C342A4" w:rsidRDefault="00C342A4" w:rsidP="00D944A7">
            <w:r>
              <w:rPr>
                <w:i/>
              </w:rPr>
              <w:t>Standards (MS CCRS)</w:t>
            </w:r>
            <w:r>
              <w:t xml:space="preserve"> </w:t>
            </w:r>
            <w:r w:rsidRPr="00D944A7">
              <w:rPr>
                <w:i/>
              </w:rPr>
              <w:t>for Science</w:t>
            </w:r>
            <w:r w:rsidR="00987F47">
              <w:rPr>
                <w:i/>
              </w:rPr>
              <w:t>.</w:t>
            </w:r>
            <w:r w:rsidR="00987F47">
              <w:t xml:space="preserve"> Explaining</w:t>
            </w:r>
            <w:r w:rsidR="00987F47">
              <w:br/>
              <w:t xml:space="preserve">phenomenon and designing solutions drive </w:t>
            </w:r>
            <w:r w:rsidR="00987F47">
              <w:br/>
              <w:t>student learning.</w:t>
            </w:r>
          </w:p>
          <w:p w:rsidR="00987F47" w:rsidRDefault="00987F47" w:rsidP="00D944A7"/>
          <w:p w:rsidR="00987F47" w:rsidRPr="00987F47" w:rsidRDefault="00987F47" w:rsidP="00D944A7">
            <w:r>
              <w:t xml:space="preserve">        </w:t>
            </w:r>
            <w:sdt>
              <w:sdtPr>
                <w:id w:val="1653638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6345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c>
          <w:tcPr>
            <w:tcW w:w="5519" w:type="dxa"/>
          </w:tcPr>
          <w:p w:rsidR="00C342A4" w:rsidRDefault="00C342A4" w:rsidP="00C342A4">
            <w:r>
              <w:t xml:space="preserve">1a) </w:t>
            </w:r>
            <w:proofErr w:type="gramStart"/>
            <w:r>
              <w:t>The majority of</w:t>
            </w:r>
            <w:proofErr w:type="gramEnd"/>
            <w:r>
              <w:t xml:space="preserve"> the </w:t>
            </w:r>
            <w:r w:rsidRPr="003663F2">
              <w:rPr>
                <w:i/>
              </w:rPr>
              <w:t>MS CCRS for Science</w:t>
            </w:r>
            <w:r>
              <w:t xml:space="preserve"> performance objectives are incorporated, to the full depth of the standards.</w:t>
            </w:r>
          </w:p>
        </w:tc>
        <w:tc>
          <w:tcPr>
            <w:tcW w:w="990" w:type="dxa"/>
          </w:tcPr>
          <w:p w:rsidR="00C342A4" w:rsidRDefault="00C342A4"/>
        </w:tc>
        <w:tc>
          <w:tcPr>
            <w:tcW w:w="0" w:type="auto"/>
          </w:tcPr>
          <w:p w:rsidR="00C342A4" w:rsidRDefault="00C342A4"/>
        </w:tc>
      </w:tr>
      <w:tr w:rsidR="00505F16" w:rsidTr="00ED7AA9">
        <w:tc>
          <w:tcPr>
            <w:tcW w:w="0" w:type="auto"/>
            <w:vMerge/>
          </w:tcPr>
          <w:p w:rsidR="00C342A4" w:rsidRDefault="00C342A4"/>
        </w:tc>
        <w:tc>
          <w:tcPr>
            <w:tcW w:w="5519" w:type="dxa"/>
          </w:tcPr>
          <w:p w:rsidR="00C342A4" w:rsidRPr="00C342A4" w:rsidRDefault="00C342A4">
            <w:r>
              <w:t xml:space="preserve">1b) Observing and </w:t>
            </w:r>
            <w:r>
              <w:rPr>
                <w:b/>
              </w:rPr>
              <w:t>explaining phenomenon</w:t>
            </w:r>
            <w:r>
              <w:t xml:space="preserve"> and </w:t>
            </w:r>
            <w:r>
              <w:rPr>
                <w:b/>
              </w:rPr>
              <w:t>designing solutions</w:t>
            </w:r>
            <w:r>
              <w:t xml:space="preserve"> provide the purpose and opportunity for students to engage in learning.</w:t>
            </w:r>
          </w:p>
        </w:tc>
        <w:tc>
          <w:tcPr>
            <w:tcW w:w="990" w:type="dxa"/>
          </w:tcPr>
          <w:p w:rsidR="00C342A4" w:rsidRDefault="00C342A4"/>
        </w:tc>
        <w:tc>
          <w:tcPr>
            <w:tcW w:w="0" w:type="auto"/>
          </w:tcPr>
          <w:p w:rsidR="00C342A4" w:rsidRDefault="00C342A4"/>
        </w:tc>
      </w:tr>
      <w:tr w:rsidR="00505F16" w:rsidTr="00ED7AA9">
        <w:tc>
          <w:tcPr>
            <w:tcW w:w="0" w:type="auto"/>
            <w:vMerge/>
          </w:tcPr>
          <w:p w:rsidR="00C342A4" w:rsidRDefault="00C342A4"/>
        </w:tc>
        <w:tc>
          <w:tcPr>
            <w:tcW w:w="5519" w:type="dxa"/>
          </w:tcPr>
          <w:p w:rsidR="00C342A4" w:rsidRDefault="00C342A4">
            <w:r>
              <w:t xml:space="preserve">1c) Science content is </w:t>
            </w:r>
            <w:r>
              <w:rPr>
                <w:b/>
              </w:rPr>
              <w:t>accurate</w:t>
            </w:r>
            <w:r>
              <w:t>, reflecting the most current a</w:t>
            </w:r>
            <w:r w:rsidR="007747EF">
              <w:t>nd widely accepted explanations and research.</w:t>
            </w:r>
          </w:p>
        </w:tc>
        <w:tc>
          <w:tcPr>
            <w:tcW w:w="990" w:type="dxa"/>
          </w:tcPr>
          <w:p w:rsidR="00C342A4" w:rsidRDefault="00C342A4"/>
        </w:tc>
        <w:tc>
          <w:tcPr>
            <w:tcW w:w="0" w:type="auto"/>
          </w:tcPr>
          <w:p w:rsidR="00C342A4" w:rsidRDefault="00C342A4"/>
        </w:tc>
      </w:tr>
      <w:tr w:rsidR="00505F16" w:rsidTr="00ED7AA9">
        <w:tc>
          <w:tcPr>
            <w:tcW w:w="0" w:type="auto"/>
            <w:vMerge/>
          </w:tcPr>
          <w:p w:rsidR="00C342A4" w:rsidRDefault="00C342A4"/>
        </w:tc>
        <w:tc>
          <w:tcPr>
            <w:tcW w:w="5519" w:type="dxa"/>
          </w:tcPr>
          <w:p w:rsidR="00C342A4" w:rsidRDefault="00C342A4">
            <w:r>
              <w:t>1d) Engineering Design Processes are addressed especially in grades K-8.</w:t>
            </w:r>
          </w:p>
        </w:tc>
        <w:tc>
          <w:tcPr>
            <w:tcW w:w="990" w:type="dxa"/>
          </w:tcPr>
          <w:p w:rsidR="00C342A4" w:rsidRDefault="00C342A4"/>
        </w:tc>
        <w:tc>
          <w:tcPr>
            <w:tcW w:w="0" w:type="auto"/>
          </w:tcPr>
          <w:p w:rsidR="00C342A4" w:rsidRDefault="00C342A4"/>
        </w:tc>
      </w:tr>
      <w:tr w:rsidR="00ED7AA9" w:rsidTr="00ED7AA9">
        <w:tc>
          <w:tcPr>
            <w:tcW w:w="0" w:type="auto"/>
            <w:vMerge w:val="restart"/>
          </w:tcPr>
          <w:p w:rsidR="00DB37E3" w:rsidRDefault="00DB37E3">
            <w:r>
              <w:t xml:space="preserve">(2) </w:t>
            </w:r>
            <w:r w:rsidRPr="00987F47">
              <w:rPr>
                <w:b/>
              </w:rPr>
              <w:t>THREE-DIMENSIONAL LEARING</w:t>
            </w:r>
          </w:p>
          <w:p w:rsidR="00DB37E3" w:rsidRDefault="00DB37E3">
            <w:r>
              <w:t xml:space="preserve">Students have multiple opportunities </w:t>
            </w:r>
            <w:r>
              <w:br/>
              <w:t xml:space="preserve">throughout each unit to develop an </w:t>
            </w:r>
            <w:r>
              <w:br/>
              <w:t>understanding and demonstrate application of the three dimensions.</w:t>
            </w:r>
          </w:p>
          <w:p w:rsidR="00DB37E3" w:rsidRDefault="00DB37E3"/>
          <w:p w:rsidR="00DB37E3" w:rsidRDefault="00DB37E3">
            <w:r>
              <w:t xml:space="preserve">        </w:t>
            </w:r>
            <w:sdt>
              <w:sdtPr>
                <w:id w:val="146561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720269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DB37E3" w:rsidRDefault="00DB37E3"/>
        </w:tc>
        <w:tc>
          <w:tcPr>
            <w:tcW w:w="5519" w:type="dxa"/>
          </w:tcPr>
          <w:p w:rsidR="00DB37E3" w:rsidRPr="00B2787F" w:rsidRDefault="00DB37E3">
            <w:r>
              <w:t>2a) Materials include and emphasize the science and engineering practices</w:t>
            </w:r>
            <w:r w:rsidR="00B2787F">
              <w:t xml:space="preserve"> and</w:t>
            </w:r>
            <w:r>
              <w:t xml:space="preserve"> crosscutting concepts</w:t>
            </w:r>
            <w:r w:rsidR="00B2787F">
              <w:t xml:space="preserve"> that integrate into the</w:t>
            </w:r>
            <w:r>
              <w:t xml:space="preserve"> disciplinary core ideas</w:t>
            </w:r>
            <w:r w:rsidR="00B2787F">
              <w:t xml:space="preserve"> for the </w:t>
            </w:r>
            <w:r w:rsidR="00B2787F">
              <w:rPr>
                <w:i/>
              </w:rPr>
              <w:t>MS CCRS for Science.</w:t>
            </w:r>
          </w:p>
        </w:tc>
        <w:tc>
          <w:tcPr>
            <w:tcW w:w="990" w:type="dxa"/>
          </w:tcPr>
          <w:p w:rsidR="00DB37E3" w:rsidRDefault="00DB37E3"/>
        </w:tc>
        <w:tc>
          <w:tcPr>
            <w:tcW w:w="0" w:type="auto"/>
          </w:tcPr>
          <w:p w:rsidR="00DB37E3" w:rsidRDefault="00DB37E3"/>
        </w:tc>
      </w:tr>
      <w:tr w:rsidR="00ED7AA9" w:rsidTr="00ED7AA9">
        <w:tc>
          <w:tcPr>
            <w:tcW w:w="0" w:type="auto"/>
            <w:vMerge/>
          </w:tcPr>
          <w:p w:rsidR="00DB37E3" w:rsidRDefault="00DB37E3"/>
        </w:tc>
        <w:tc>
          <w:tcPr>
            <w:tcW w:w="5519" w:type="dxa"/>
          </w:tcPr>
          <w:p w:rsidR="00DB37E3" w:rsidRPr="00987F47" w:rsidRDefault="00DB37E3">
            <w:r>
              <w:t xml:space="preserve">2b) There is </w:t>
            </w:r>
            <w:r>
              <w:rPr>
                <w:b/>
              </w:rPr>
              <w:t>variability</w:t>
            </w:r>
            <w:r>
              <w:t xml:space="preserve"> in the tasks that students are </w:t>
            </w:r>
            <w:r w:rsidR="003663F2">
              <w:t>asked</w:t>
            </w:r>
            <w:r>
              <w:t xml:space="preserve"> to accomplish. </w:t>
            </w:r>
            <w:r w:rsidR="007747EF">
              <w:t>The material requires students to apply and demonstrate their understanding in multiple ways.</w:t>
            </w:r>
          </w:p>
        </w:tc>
        <w:tc>
          <w:tcPr>
            <w:tcW w:w="990" w:type="dxa"/>
          </w:tcPr>
          <w:p w:rsidR="00DB37E3" w:rsidRDefault="00DB37E3"/>
        </w:tc>
        <w:tc>
          <w:tcPr>
            <w:tcW w:w="0" w:type="auto"/>
          </w:tcPr>
          <w:p w:rsidR="00DB37E3" w:rsidRDefault="00DB37E3"/>
        </w:tc>
      </w:tr>
      <w:tr w:rsidR="00ED7AA9" w:rsidTr="00ED7AA9">
        <w:trPr>
          <w:trHeight w:val="1208"/>
        </w:trPr>
        <w:tc>
          <w:tcPr>
            <w:tcW w:w="0" w:type="auto"/>
            <w:vMerge w:val="restart"/>
          </w:tcPr>
          <w:p w:rsidR="00ED7AA9" w:rsidRDefault="00ED7AA9">
            <w:r>
              <w:t xml:space="preserve">(3) </w:t>
            </w:r>
            <w:r>
              <w:rPr>
                <w:b/>
              </w:rPr>
              <w:t>DISCIPLINARY LITERACY</w:t>
            </w:r>
          </w:p>
          <w:p w:rsidR="00ED7AA9" w:rsidRDefault="00ED7AA9">
            <w:r>
              <w:t>Materials have students engage with authentic</w:t>
            </w:r>
          </w:p>
          <w:p w:rsidR="00ED7AA9" w:rsidRDefault="00ED7AA9">
            <w:r>
              <w:t>Sources and incorporate reading, writing, and communication skills to develop scientific literacy.</w:t>
            </w:r>
          </w:p>
          <w:p w:rsidR="00ED7AA9" w:rsidRDefault="00ED7AA9"/>
          <w:p w:rsidR="00ED7AA9" w:rsidRDefault="00ED7AA9" w:rsidP="00ED7AA9">
            <w:r>
              <w:t xml:space="preserve">       </w:t>
            </w:r>
            <w:sdt>
              <w:sdtPr>
                <w:id w:val="1128673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73835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ED7AA9" w:rsidRPr="003663F2" w:rsidRDefault="00ED7AA9"/>
        </w:tc>
        <w:tc>
          <w:tcPr>
            <w:tcW w:w="5519" w:type="dxa"/>
          </w:tcPr>
          <w:p w:rsidR="00ED7AA9" w:rsidRDefault="00ED7AA9">
            <w:r>
              <w:t>3a) Materials provide a coherent sequence of authentic science sources that build scientific vocabulary and knowledge over the course of study. Vocabulary is addressed as needed in the materials but not taught in isolation of deeper scientific learning.</w:t>
            </w:r>
          </w:p>
        </w:tc>
        <w:tc>
          <w:tcPr>
            <w:tcW w:w="990" w:type="dxa"/>
          </w:tcPr>
          <w:p w:rsidR="00ED7AA9" w:rsidRDefault="00ED7AA9"/>
        </w:tc>
        <w:tc>
          <w:tcPr>
            <w:tcW w:w="0" w:type="auto"/>
          </w:tcPr>
          <w:p w:rsidR="00ED7AA9" w:rsidRDefault="00ED7AA9"/>
        </w:tc>
      </w:tr>
      <w:tr w:rsidR="00ED7AA9" w:rsidTr="00527B3D">
        <w:trPr>
          <w:trHeight w:val="1152"/>
        </w:trPr>
        <w:tc>
          <w:tcPr>
            <w:tcW w:w="0" w:type="auto"/>
            <w:vMerge/>
            <w:tcBorders>
              <w:bottom w:val="single" w:sz="4" w:space="0" w:color="auto"/>
            </w:tcBorders>
          </w:tcPr>
          <w:p w:rsidR="00ED7AA9" w:rsidRDefault="00ED7AA9" w:rsidP="003663F2"/>
        </w:tc>
        <w:tc>
          <w:tcPr>
            <w:tcW w:w="5519" w:type="dxa"/>
            <w:tcBorders>
              <w:bottom w:val="single" w:sz="4" w:space="0" w:color="auto"/>
            </w:tcBorders>
          </w:tcPr>
          <w:p w:rsidR="00ED7AA9" w:rsidRDefault="00ED7AA9" w:rsidP="003663F2">
            <w:r>
              <w:t xml:space="preserve">3b) Materials address the necessity of using </w:t>
            </w:r>
            <w:r>
              <w:rPr>
                <w:b/>
              </w:rPr>
              <w:t xml:space="preserve">scientific evidence </w:t>
            </w:r>
            <w:r w:rsidRPr="00ED7AA9">
              <w:t>to support scientific ideas.</w:t>
            </w:r>
          </w:p>
        </w:tc>
        <w:tc>
          <w:tcPr>
            <w:tcW w:w="990" w:type="dxa"/>
            <w:tcBorders>
              <w:bottom w:val="single" w:sz="4" w:space="0" w:color="auto"/>
            </w:tcBorders>
          </w:tcPr>
          <w:p w:rsidR="00ED7AA9" w:rsidRDefault="00ED7AA9" w:rsidP="003663F2"/>
        </w:tc>
        <w:tc>
          <w:tcPr>
            <w:tcW w:w="0" w:type="auto"/>
            <w:tcBorders>
              <w:bottom w:val="single" w:sz="4" w:space="0" w:color="auto"/>
            </w:tcBorders>
          </w:tcPr>
          <w:p w:rsidR="00ED7AA9" w:rsidRDefault="00ED7AA9" w:rsidP="003663F2"/>
        </w:tc>
      </w:tr>
      <w:tr w:rsidR="00ED7AA9" w:rsidTr="00ED7AA9">
        <w:trPr>
          <w:trHeight w:val="800"/>
        </w:trPr>
        <w:tc>
          <w:tcPr>
            <w:tcW w:w="0" w:type="auto"/>
            <w:shd w:val="clear" w:color="auto" w:fill="F2F2F2" w:themeFill="background1" w:themeFillShade="F2"/>
          </w:tcPr>
          <w:p w:rsidR="00ED7AA9" w:rsidRPr="00C342A4" w:rsidRDefault="00ED7AA9" w:rsidP="00ED7AA9">
            <w:pPr>
              <w:jc w:val="center"/>
              <w:rPr>
                <w:b/>
              </w:rPr>
            </w:pPr>
            <w:r w:rsidRPr="00C342A4">
              <w:rPr>
                <w:b/>
              </w:rPr>
              <w:lastRenderedPageBreak/>
              <w:t>CRITERIA</w:t>
            </w:r>
          </w:p>
        </w:tc>
        <w:tc>
          <w:tcPr>
            <w:tcW w:w="5519" w:type="dxa"/>
            <w:shd w:val="clear" w:color="auto" w:fill="F2F2F2" w:themeFill="background1" w:themeFillShade="F2"/>
          </w:tcPr>
          <w:p w:rsidR="00ED7AA9" w:rsidRPr="00C342A4" w:rsidRDefault="00ED7AA9" w:rsidP="00ED7AA9">
            <w:pPr>
              <w:jc w:val="center"/>
              <w:rPr>
                <w:b/>
              </w:rPr>
            </w:pPr>
            <w:r w:rsidRPr="00C342A4">
              <w:rPr>
                <w:b/>
              </w:rPr>
              <w:t>INDICATORS OF SUPERIOR QUALITY</w:t>
            </w:r>
          </w:p>
        </w:tc>
        <w:tc>
          <w:tcPr>
            <w:tcW w:w="990" w:type="dxa"/>
            <w:shd w:val="clear" w:color="auto" w:fill="F2F2F2" w:themeFill="background1" w:themeFillShade="F2"/>
          </w:tcPr>
          <w:p w:rsidR="00151FD8" w:rsidRDefault="00151FD8" w:rsidP="00151FD8">
            <w:pPr>
              <w:jc w:val="center"/>
              <w:rPr>
                <w:b/>
              </w:rPr>
            </w:pPr>
            <w:r>
              <w:rPr>
                <w:b/>
              </w:rPr>
              <w:t>RATING</w:t>
            </w:r>
          </w:p>
          <w:p w:rsidR="00ED7AA9" w:rsidRPr="00C342A4" w:rsidRDefault="00151FD8" w:rsidP="00151FD8">
            <w:pPr>
              <w:jc w:val="center"/>
              <w:rPr>
                <w:b/>
              </w:rPr>
            </w:pPr>
            <w:r>
              <w:rPr>
                <w:b/>
              </w:rPr>
              <w:t>5, 3, 0</w:t>
            </w:r>
          </w:p>
        </w:tc>
        <w:tc>
          <w:tcPr>
            <w:tcW w:w="0" w:type="auto"/>
            <w:shd w:val="clear" w:color="auto" w:fill="F2F2F2" w:themeFill="background1" w:themeFillShade="F2"/>
          </w:tcPr>
          <w:p w:rsidR="00ED7AA9" w:rsidRPr="00C342A4" w:rsidRDefault="00ED7AA9" w:rsidP="00ED7AA9">
            <w:pPr>
              <w:jc w:val="center"/>
              <w:rPr>
                <w:b/>
              </w:rPr>
            </w:pPr>
            <w:r w:rsidRPr="00C342A4">
              <w:rPr>
                <w:b/>
              </w:rPr>
              <w:t>COMMENTS WITH EXAMPLES</w:t>
            </w:r>
          </w:p>
        </w:tc>
      </w:tr>
      <w:tr w:rsidR="00EB35BA" w:rsidTr="00ED7AA9">
        <w:trPr>
          <w:trHeight w:val="1207"/>
        </w:trPr>
        <w:tc>
          <w:tcPr>
            <w:tcW w:w="0" w:type="auto"/>
            <w:vMerge w:val="restart"/>
          </w:tcPr>
          <w:p w:rsidR="00EB35BA" w:rsidRDefault="00EB35BA" w:rsidP="00ED7AA9"/>
        </w:tc>
        <w:tc>
          <w:tcPr>
            <w:tcW w:w="5519" w:type="dxa"/>
          </w:tcPr>
          <w:p w:rsidR="00EB35BA" w:rsidRDefault="00EB35BA" w:rsidP="00ED7AA9">
            <w:r>
              <w:t>3c) Students are offered connections with authentic sources that represent the language and style that is used and produced by scientists. Examples could include journal excerpts, authentic data, photographs, sections of lab reports, and media releases of current science research. Frequency of engagement with authentic sources should increase in higher grade levels and courses.</w:t>
            </w:r>
          </w:p>
        </w:tc>
        <w:tc>
          <w:tcPr>
            <w:tcW w:w="990" w:type="dxa"/>
          </w:tcPr>
          <w:p w:rsidR="00EB35BA" w:rsidRDefault="00EB35BA" w:rsidP="00ED7AA9"/>
        </w:tc>
        <w:tc>
          <w:tcPr>
            <w:tcW w:w="0" w:type="auto"/>
          </w:tcPr>
          <w:p w:rsidR="00EB35BA" w:rsidRDefault="00EB35BA" w:rsidP="00ED7AA9"/>
        </w:tc>
      </w:tr>
      <w:tr w:rsidR="00EB35BA" w:rsidTr="00527B3D">
        <w:trPr>
          <w:trHeight w:val="864"/>
        </w:trPr>
        <w:tc>
          <w:tcPr>
            <w:tcW w:w="0" w:type="auto"/>
            <w:vMerge/>
          </w:tcPr>
          <w:p w:rsidR="00EB35BA" w:rsidRDefault="00EB35BA" w:rsidP="00ED7AA9"/>
        </w:tc>
        <w:tc>
          <w:tcPr>
            <w:tcW w:w="5519" w:type="dxa"/>
          </w:tcPr>
          <w:p w:rsidR="00EB35BA" w:rsidRPr="00ED7AA9" w:rsidRDefault="00EB35BA" w:rsidP="00ED7AA9">
            <w:r>
              <w:t xml:space="preserve">3d) Students </w:t>
            </w:r>
            <w:proofErr w:type="gramStart"/>
            <w:r>
              <w:t>have the opportunity to</w:t>
            </w:r>
            <w:proofErr w:type="gramEnd"/>
            <w:r>
              <w:t xml:space="preserve"> regularly engage in </w:t>
            </w:r>
            <w:r>
              <w:rPr>
                <w:b/>
              </w:rPr>
              <w:t>speaking and writing</w:t>
            </w:r>
            <w:r>
              <w:t xml:space="preserve"> about scientific phenomena and engineering solutions.</w:t>
            </w:r>
          </w:p>
        </w:tc>
        <w:tc>
          <w:tcPr>
            <w:tcW w:w="990" w:type="dxa"/>
          </w:tcPr>
          <w:p w:rsidR="00EB35BA" w:rsidRDefault="00EB35BA" w:rsidP="00ED7AA9"/>
        </w:tc>
        <w:tc>
          <w:tcPr>
            <w:tcW w:w="0" w:type="auto"/>
          </w:tcPr>
          <w:p w:rsidR="00EB35BA" w:rsidRDefault="00EB35BA" w:rsidP="00ED7AA9"/>
        </w:tc>
      </w:tr>
      <w:tr w:rsidR="00B2787F" w:rsidTr="00ED7AA9">
        <w:trPr>
          <w:trHeight w:val="1207"/>
        </w:trPr>
        <w:tc>
          <w:tcPr>
            <w:tcW w:w="0" w:type="auto"/>
            <w:vMerge w:val="restart"/>
          </w:tcPr>
          <w:p w:rsidR="00B2787F" w:rsidRDefault="00B2787F" w:rsidP="00ED7AA9">
            <w:r>
              <w:t xml:space="preserve">(4) </w:t>
            </w:r>
            <w:r>
              <w:rPr>
                <w:b/>
              </w:rPr>
              <w:t>LEARNING PROGRESSIONS</w:t>
            </w:r>
          </w:p>
          <w:p w:rsidR="00B2787F" w:rsidRPr="00527B3D" w:rsidRDefault="00B2787F" w:rsidP="00B2787F">
            <w:r>
              <w:t xml:space="preserve">Materials are coherent and provide </w:t>
            </w:r>
            <w:r>
              <w:br/>
              <w:t xml:space="preserve">natural connections from the disciplinary </w:t>
            </w:r>
            <w:r>
              <w:br/>
              <w:t xml:space="preserve">core ideas to other performance </w:t>
            </w:r>
            <w:r>
              <w:br/>
              <w:t xml:space="preserve">expectations including science and </w:t>
            </w:r>
            <w:r>
              <w:br/>
              <w:t xml:space="preserve">engineering practices, crosscutting </w:t>
            </w:r>
            <w:r>
              <w:br/>
              <w:t xml:space="preserve">concepts, engineering design processes, </w:t>
            </w:r>
            <w:r>
              <w:br/>
              <w:t xml:space="preserve">and compliments the major mathematics </w:t>
            </w:r>
            <w:r>
              <w:br/>
              <w:t xml:space="preserve">concepts from the </w:t>
            </w:r>
            <w:r w:rsidRPr="00527B3D">
              <w:rPr>
                <w:i/>
              </w:rPr>
              <w:t>MS CCRS for Math</w:t>
            </w:r>
            <w:r>
              <w:t>.</w:t>
            </w:r>
          </w:p>
          <w:p w:rsidR="00B2787F" w:rsidRDefault="00B2787F" w:rsidP="00527B3D"/>
          <w:p w:rsidR="00B2787F" w:rsidRDefault="00B2787F" w:rsidP="00527B3D">
            <w:r>
              <w:t xml:space="preserve">       </w:t>
            </w:r>
            <w:sdt>
              <w:sdtPr>
                <w:id w:val="-1387020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121773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c>
          <w:tcPr>
            <w:tcW w:w="5519" w:type="dxa"/>
          </w:tcPr>
          <w:p w:rsidR="00B2787F" w:rsidRPr="00527B3D" w:rsidRDefault="00B2787F" w:rsidP="00ED7AA9">
            <w:r>
              <w:t xml:space="preserve">4a) The overall organization of the materials and the development of content skills and practices are </w:t>
            </w:r>
            <w:r w:rsidRPr="00B2787F">
              <w:rPr>
                <w:b/>
              </w:rPr>
              <w:t>coherent</w:t>
            </w:r>
            <w:r>
              <w:t xml:space="preserve"> and support student mastery of the standards. The </w:t>
            </w:r>
            <w:r>
              <w:rPr>
                <w:b/>
              </w:rPr>
              <w:t>progression of learning</w:t>
            </w:r>
            <w:r>
              <w:t xml:space="preserve"> is organized in a deliberate fashion to promote student understanding.</w:t>
            </w:r>
          </w:p>
        </w:tc>
        <w:tc>
          <w:tcPr>
            <w:tcW w:w="990" w:type="dxa"/>
          </w:tcPr>
          <w:p w:rsidR="00B2787F" w:rsidRDefault="00B2787F" w:rsidP="00ED7AA9"/>
        </w:tc>
        <w:tc>
          <w:tcPr>
            <w:tcW w:w="0" w:type="auto"/>
          </w:tcPr>
          <w:p w:rsidR="00B2787F" w:rsidRDefault="00B2787F" w:rsidP="00ED7AA9"/>
        </w:tc>
      </w:tr>
      <w:tr w:rsidR="00B2787F" w:rsidTr="00ED7AA9">
        <w:trPr>
          <w:trHeight w:val="1207"/>
        </w:trPr>
        <w:tc>
          <w:tcPr>
            <w:tcW w:w="0" w:type="auto"/>
            <w:vMerge/>
          </w:tcPr>
          <w:p w:rsidR="00B2787F" w:rsidRDefault="00B2787F" w:rsidP="00ED7AA9"/>
        </w:tc>
        <w:tc>
          <w:tcPr>
            <w:tcW w:w="5519" w:type="dxa"/>
          </w:tcPr>
          <w:p w:rsidR="00B2787F" w:rsidRPr="00527B3D" w:rsidRDefault="00B2787F" w:rsidP="00ED7AA9">
            <w:r>
              <w:t xml:space="preserve">4b) Materials are </w:t>
            </w:r>
            <w:r w:rsidR="007747EF">
              <w:t>presented in an engaging context that are related to real world experiences and situations.</w:t>
            </w:r>
          </w:p>
        </w:tc>
        <w:tc>
          <w:tcPr>
            <w:tcW w:w="990" w:type="dxa"/>
          </w:tcPr>
          <w:p w:rsidR="00B2787F" w:rsidRDefault="00B2787F" w:rsidP="00ED7AA9"/>
        </w:tc>
        <w:tc>
          <w:tcPr>
            <w:tcW w:w="0" w:type="auto"/>
          </w:tcPr>
          <w:p w:rsidR="00B2787F" w:rsidRDefault="00B2787F" w:rsidP="00ED7AA9"/>
        </w:tc>
      </w:tr>
      <w:tr w:rsidR="00B2787F" w:rsidTr="00571D38">
        <w:trPr>
          <w:trHeight w:val="1034"/>
        </w:trPr>
        <w:tc>
          <w:tcPr>
            <w:tcW w:w="0" w:type="auto"/>
            <w:vMerge/>
          </w:tcPr>
          <w:p w:rsidR="00B2787F" w:rsidRDefault="00B2787F" w:rsidP="00ED7AA9"/>
        </w:tc>
        <w:tc>
          <w:tcPr>
            <w:tcW w:w="5519" w:type="dxa"/>
          </w:tcPr>
          <w:p w:rsidR="00B2787F" w:rsidRDefault="00B2787F" w:rsidP="00ED7AA9">
            <w:r>
              <w:t>4c) Students apply mathematical thinking when applicable. The math skills are appropriate for the grade level of the students.</w:t>
            </w:r>
          </w:p>
        </w:tc>
        <w:tc>
          <w:tcPr>
            <w:tcW w:w="990" w:type="dxa"/>
            <w:tcBorders>
              <w:bottom w:val="single" w:sz="4" w:space="0" w:color="auto"/>
            </w:tcBorders>
          </w:tcPr>
          <w:p w:rsidR="00B2787F" w:rsidRDefault="00B2787F" w:rsidP="00ED7AA9"/>
        </w:tc>
        <w:tc>
          <w:tcPr>
            <w:tcW w:w="0" w:type="auto"/>
          </w:tcPr>
          <w:p w:rsidR="00B2787F" w:rsidRDefault="00B2787F" w:rsidP="00ED7AA9"/>
        </w:tc>
      </w:tr>
      <w:tr w:rsidR="00571D38" w:rsidTr="00571D38">
        <w:trPr>
          <w:trHeight w:val="1034"/>
        </w:trPr>
        <w:tc>
          <w:tcPr>
            <w:tcW w:w="0" w:type="auto"/>
          </w:tcPr>
          <w:p w:rsidR="00571D38" w:rsidRPr="00571D38" w:rsidRDefault="00571D38" w:rsidP="00ED7AA9">
            <w:pPr>
              <w:rPr>
                <w:b/>
              </w:rPr>
            </w:pPr>
            <w:r w:rsidRPr="00571D38">
              <w:rPr>
                <w:b/>
              </w:rPr>
              <w:t>TOTAL SCORE</w:t>
            </w:r>
            <w:r>
              <w:rPr>
                <w:b/>
              </w:rPr>
              <w:t xml:space="preserve"> (PART 1)</w:t>
            </w:r>
          </w:p>
        </w:tc>
        <w:tc>
          <w:tcPr>
            <w:tcW w:w="5519" w:type="dxa"/>
          </w:tcPr>
          <w:p w:rsidR="00571D38" w:rsidRDefault="00571D38" w:rsidP="00ED7AA9"/>
        </w:tc>
        <w:tc>
          <w:tcPr>
            <w:tcW w:w="990" w:type="dxa"/>
            <w:shd w:val="clear" w:color="auto" w:fill="F2F2F2" w:themeFill="background1" w:themeFillShade="F2"/>
          </w:tcPr>
          <w:p w:rsidR="00571D38" w:rsidRDefault="00571D38" w:rsidP="00ED7AA9"/>
        </w:tc>
        <w:tc>
          <w:tcPr>
            <w:tcW w:w="0" w:type="auto"/>
          </w:tcPr>
          <w:p w:rsidR="00571D38" w:rsidRDefault="00571D38" w:rsidP="00ED7AA9"/>
        </w:tc>
      </w:tr>
    </w:tbl>
    <w:p w:rsidR="00D944A7" w:rsidRDefault="00D944A7"/>
    <w:p w:rsidR="002D1437" w:rsidRDefault="002D1437"/>
    <w:p w:rsidR="002D1437" w:rsidRDefault="002D1437"/>
    <w:p w:rsidR="002D1437" w:rsidRDefault="002D1437"/>
    <w:p w:rsidR="002D1437" w:rsidRDefault="002D1437"/>
    <w:p w:rsidR="002D1437" w:rsidRDefault="002D1437"/>
    <w:p w:rsidR="002D1437" w:rsidRDefault="002D1437"/>
    <w:p w:rsidR="00B2787F" w:rsidRDefault="00B2787F">
      <w:pPr>
        <w:rPr>
          <w:b/>
          <w:sz w:val="24"/>
          <w:szCs w:val="24"/>
        </w:rPr>
      </w:pPr>
      <w:r w:rsidRPr="003663F2">
        <w:rPr>
          <w:b/>
          <w:sz w:val="24"/>
          <w:szCs w:val="24"/>
        </w:rPr>
        <w:t xml:space="preserve">Section </w:t>
      </w:r>
      <w:r>
        <w:rPr>
          <w:b/>
          <w:sz w:val="24"/>
          <w:szCs w:val="24"/>
        </w:rPr>
        <w:t>2</w:t>
      </w:r>
      <w:r w:rsidRPr="003663F2">
        <w:rPr>
          <w:b/>
          <w:sz w:val="24"/>
          <w:szCs w:val="24"/>
        </w:rPr>
        <w:t xml:space="preserve">:  </w:t>
      </w:r>
      <w:r w:rsidR="002D1437">
        <w:rPr>
          <w:b/>
          <w:sz w:val="24"/>
          <w:szCs w:val="24"/>
        </w:rPr>
        <w:t>Instructional</w:t>
      </w:r>
      <w:r>
        <w:rPr>
          <w:b/>
          <w:sz w:val="24"/>
          <w:szCs w:val="24"/>
        </w:rPr>
        <w:t xml:space="preserve"> Support</w:t>
      </w:r>
      <w:r w:rsidR="002D1437">
        <w:rPr>
          <w:b/>
          <w:sz w:val="24"/>
          <w:szCs w:val="24"/>
        </w:rPr>
        <w:t xml:space="preserve">, </w:t>
      </w:r>
      <w:r w:rsidR="000C3EE8">
        <w:rPr>
          <w:b/>
          <w:sz w:val="24"/>
          <w:szCs w:val="24"/>
        </w:rPr>
        <w:t xml:space="preserve">Usability, </w:t>
      </w:r>
      <w:r w:rsidR="002D1437">
        <w:rPr>
          <w:b/>
          <w:sz w:val="24"/>
          <w:szCs w:val="24"/>
        </w:rPr>
        <w:t>and Assessment</w:t>
      </w:r>
    </w:p>
    <w:tbl>
      <w:tblPr>
        <w:tblStyle w:val="TableGrid"/>
        <w:tblW w:w="0" w:type="auto"/>
        <w:tblLook w:val="0480" w:firstRow="0" w:lastRow="0" w:firstColumn="1" w:lastColumn="0" w:noHBand="0" w:noVBand="1"/>
      </w:tblPr>
      <w:tblGrid>
        <w:gridCol w:w="4507"/>
        <w:gridCol w:w="5519"/>
        <w:gridCol w:w="990"/>
        <w:gridCol w:w="2222"/>
      </w:tblGrid>
      <w:tr w:rsidR="008455EF" w:rsidTr="00723BF0">
        <w:tc>
          <w:tcPr>
            <w:tcW w:w="0" w:type="auto"/>
            <w:shd w:val="clear" w:color="auto" w:fill="F2F2F2" w:themeFill="background1" w:themeFillShade="F2"/>
          </w:tcPr>
          <w:p w:rsidR="00B2787F" w:rsidRPr="00C342A4" w:rsidRDefault="00B2787F" w:rsidP="00723BF0">
            <w:pPr>
              <w:jc w:val="center"/>
              <w:rPr>
                <w:b/>
              </w:rPr>
            </w:pPr>
            <w:r w:rsidRPr="00C342A4">
              <w:rPr>
                <w:b/>
              </w:rPr>
              <w:t>CRITERIA</w:t>
            </w:r>
          </w:p>
        </w:tc>
        <w:tc>
          <w:tcPr>
            <w:tcW w:w="5519" w:type="dxa"/>
            <w:shd w:val="clear" w:color="auto" w:fill="F2F2F2" w:themeFill="background1" w:themeFillShade="F2"/>
          </w:tcPr>
          <w:p w:rsidR="00B2787F" w:rsidRPr="00C342A4" w:rsidRDefault="00B2787F" w:rsidP="00723BF0">
            <w:pPr>
              <w:jc w:val="center"/>
              <w:rPr>
                <w:b/>
              </w:rPr>
            </w:pPr>
            <w:r w:rsidRPr="00C342A4">
              <w:rPr>
                <w:b/>
              </w:rPr>
              <w:t>INDICATORS OF SUPERIOR QUALITY</w:t>
            </w:r>
          </w:p>
        </w:tc>
        <w:tc>
          <w:tcPr>
            <w:tcW w:w="990" w:type="dxa"/>
            <w:shd w:val="clear" w:color="auto" w:fill="F2F2F2" w:themeFill="background1" w:themeFillShade="F2"/>
          </w:tcPr>
          <w:p w:rsidR="00151FD8" w:rsidRDefault="00151FD8" w:rsidP="00151FD8">
            <w:pPr>
              <w:jc w:val="center"/>
              <w:rPr>
                <w:b/>
              </w:rPr>
            </w:pPr>
            <w:r>
              <w:rPr>
                <w:b/>
              </w:rPr>
              <w:t>RATING</w:t>
            </w:r>
          </w:p>
          <w:p w:rsidR="00B2787F" w:rsidRPr="00C342A4" w:rsidRDefault="00151FD8" w:rsidP="00151FD8">
            <w:pPr>
              <w:jc w:val="center"/>
              <w:rPr>
                <w:b/>
              </w:rPr>
            </w:pPr>
            <w:r>
              <w:rPr>
                <w:b/>
              </w:rPr>
              <w:t>5, 3, 0</w:t>
            </w:r>
          </w:p>
        </w:tc>
        <w:tc>
          <w:tcPr>
            <w:tcW w:w="0" w:type="auto"/>
            <w:shd w:val="clear" w:color="auto" w:fill="F2F2F2" w:themeFill="background1" w:themeFillShade="F2"/>
          </w:tcPr>
          <w:p w:rsidR="00B2787F" w:rsidRPr="00C342A4" w:rsidRDefault="00B2787F" w:rsidP="00723BF0">
            <w:pPr>
              <w:jc w:val="center"/>
              <w:rPr>
                <w:b/>
              </w:rPr>
            </w:pPr>
            <w:r w:rsidRPr="00C342A4">
              <w:rPr>
                <w:b/>
              </w:rPr>
              <w:t>COMMENTS WITH EXAMPLES</w:t>
            </w:r>
          </w:p>
        </w:tc>
      </w:tr>
      <w:tr w:rsidR="008455EF" w:rsidTr="00723BF0">
        <w:tc>
          <w:tcPr>
            <w:tcW w:w="0" w:type="auto"/>
            <w:vMerge w:val="restart"/>
          </w:tcPr>
          <w:p w:rsidR="00B2787F" w:rsidRPr="00B2787F" w:rsidRDefault="00B2787F" w:rsidP="00B2787F">
            <w:pPr>
              <w:rPr>
                <w:b/>
              </w:rPr>
            </w:pPr>
            <w:r>
              <w:t xml:space="preserve">(5) </w:t>
            </w:r>
            <w:r w:rsidR="007747EF">
              <w:rPr>
                <w:b/>
              </w:rPr>
              <w:t>SCAFFOLDING AND SUPPORT</w:t>
            </w:r>
          </w:p>
          <w:p w:rsidR="008455EF" w:rsidRDefault="00B2787F" w:rsidP="00A73C30">
            <w:r>
              <w:t xml:space="preserve">Materials </w:t>
            </w:r>
            <w:r w:rsidR="007747EF">
              <w:t xml:space="preserve">provide teachers with </w:t>
            </w:r>
            <w:r w:rsidR="008455EF">
              <w:br/>
            </w:r>
            <w:r w:rsidR="007747EF">
              <w:t xml:space="preserve">guidance </w:t>
            </w:r>
            <w:r w:rsidR="008455EF">
              <w:t xml:space="preserve">to </w:t>
            </w:r>
            <w:r w:rsidR="007747EF">
              <w:t xml:space="preserve">build their own knowledge </w:t>
            </w:r>
          </w:p>
          <w:p w:rsidR="008455EF" w:rsidRDefault="007747EF" w:rsidP="00A73C30">
            <w:r>
              <w:t>and to give</w:t>
            </w:r>
            <w:r w:rsidR="008455EF">
              <w:t xml:space="preserve"> a</w:t>
            </w:r>
            <w:r>
              <w:t xml:space="preserve">ll students extensive </w:t>
            </w:r>
          </w:p>
          <w:p w:rsidR="008455EF" w:rsidRDefault="007747EF" w:rsidP="00A73C30">
            <w:r>
              <w:t>opportunities and support to explore key concepts</w:t>
            </w:r>
            <w:r w:rsidR="008455EF">
              <w:t xml:space="preserve"> </w:t>
            </w:r>
            <w:r>
              <w:t xml:space="preserve">using multiple, varied </w:t>
            </w:r>
          </w:p>
          <w:p w:rsidR="00A73C30" w:rsidRDefault="008455EF" w:rsidP="00A73C30">
            <w:r>
              <w:t>e</w:t>
            </w:r>
            <w:r w:rsidR="007747EF">
              <w:t>xperience to</w:t>
            </w:r>
            <w:r>
              <w:t xml:space="preserve"> </w:t>
            </w:r>
            <w:r w:rsidR="007747EF">
              <w:t>build scientific thinking.</w:t>
            </w:r>
            <w:r w:rsidR="00B2787F">
              <w:br/>
            </w:r>
          </w:p>
          <w:p w:rsidR="00B2787F" w:rsidRPr="00987F47" w:rsidRDefault="00B2787F" w:rsidP="00A73C30">
            <w:r>
              <w:t xml:space="preserve">        </w:t>
            </w:r>
            <w:sdt>
              <w:sdtPr>
                <w:id w:val="14491203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022734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c>
          <w:tcPr>
            <w:tcW w:w="5519" w:type="dxa"/>
          </w:tcPr>
          <w:p w:rsidR="006D01AC" w:rsidRDefault="00A73C30" w:rsidP="00723BF0">
            <w:r>
              <w:t>5</w:t>
            </w:r>
            <w:r w:rsidR="00B2787F">
              <w:t xml:space="preserve">a) </w:t>
            </w:r>
            <w:r>
              <w:t xml:space="preserve">There are separate </w:t>
            </w:r>
            <w:r>
              <w:rPr>
                <w:b/>
              </w:rPr>
              <w:t>teacher support</w:t>
            </w:r>
            <w:r>
              <w:t xml:space="preserve"> materials to assist teachers:</w:t>
            </w:r>
          </w:p>
          <w:p w:rsidR="006D01AC" w:rsidRDefault="006D01AC" w:rsidP="006D01AC">
            <w:pPr>
              <w:pStyle w:val="ListParagraph"/>
              <w:numPr>
                <w:ilvl w:val="0"/>
                <w:numId w:val="6"/>
              </w:numPr>
            </w:pPr>
            <w:r>
              <w:t>Organize and sequence effective learning experiences for students;</w:t>
            </w:r>
          </w:p>
          <w:p w:rsidR="006D01AC" w:rsidRDefault="006D01AC" w:rsidP="006D01AC">
            <w:pPr>
              <w:pStyle w:val="ListParagraph"/>
              <w:numPr>
                <w:ilvl w:val="0"/>
                <w:numId w:val="6"/>
              </w:numPr>
            </w:pPr>
            <w:r>
              <w:t>Utilize instructional materials to develop a variety of effective teaching strategies for student learning;</w:t>
            </w:r>
          </w:p>
          <w:p w:rsidR="006D01AC" w:rsidRDefault="006D01AC" w:rsidP="006D01AC">
            <w:pPr>
              <w:pStyle w:val="ListParagraph"/>
              <w:numPr>
                <w:ilvl w:val="0"/>
                <w:numId w:val="6"/>
              </w:numPr>
            </w:pPr>
            <w:r>
              <w:t>Utilize teacher’s use of science and engineering practices, inquiry, and cross-cutting concepts within the disciplinary core ideas; and</w:t>
            </w:r>
          </w:p>
          <w:p w:rsidR="006D01AC" w:rsidRDefault="006D01AC" w:rsidP="006D01AC">
            <w:pPr>
              <w:pStyle w:val="ListParagraph"/>
              <w:numPr>
                <w:ilvl w:val="0"/>
                <w:numId w:val="6"/>
              </w:numPr>
            </w:pPr>
            <w:r>
              <w:t>Incorporate reading, writing, and mathematical practices into lessons where appropriate.</w:t>
            </w:r>
          </w:p>
          <w:p w:rsidR="006D01AC" w:rsidRDefault="006D01AC" w:rsidP="006D01AC">
            <w:r>
              <w:t>These instructional support documents support the work teachers do by providing:</w:t>
            </w:r>
          </w:p>
          <w:p w:rsidR="006D01AC" w:rsidRDefault="006D01AC" w:rsidP="006D01AC">
            <w:pPr>
              <w:pStyle w:val="ListParagraph"/>
              <w:numPr>
                <w:ilvl w:val="0"/>
                <w:numId w:val="7"/>
              </w:numPr>
            </w:pPr>
            <w:r>
              <w:t>Pertinent content background information;</w:t>
            </w:r>
          </w:p>
          <w:p w:rsidR="006D01AC" w:rsidRDefault="006D01AC" w:rsidP="006D01AC">
            <w:pPr>
              <w:pStyle w:val="ListParagraph"/>
              <w:numPr>
                <w:ilvl w:val="0"/>
                <w:numId w:val="7"/>
              </w:numPr>
            </w:pPr>
            <w:r>
              <w:t>Examples of student misconceptions;</w:t>
            </w:r>
          </w:p>
          <w:p w:rsidR="006D01AC" w:rsidRDefault="006D01AC" w:rsidP="006D01AC">
            <w:pPr>
              <w:pStyle w:val="ListParagraph"/>
              <w:numPr>
                <w:ilvl w:val="0"/>
                <w:numId w:val="7"/>
              </w:numPr>
            </w:pPr>
            <w:r>
              <w:t>Resources to assist and enhance instruction</w:t>
            </w:r>
            <w:r w:rsidR="002A4EF8">
              <w:t xml:space="preserve"> (electronic, web-based, software, etc.)</w:t>
            </w:r>
          </w:p>
          <w:p w:rsidR="002A4EF8" w:rsidRDefault="002A4EF8" w:rsidP="006D01AC">
            <w:pPr>
              <w:pStyle w:val="ListParagraph"/>
              <w:numPr>
                <w:ilvl w:val="0"/>
                <w:numId w:val="7"/>
              </w:numPr>
            </w:pPr>
            <w:r>
              <w:t>Materials and equipment needed along with maintenance and safe use’</w:t>
            </w:r>
          </w:p>
          <w:p w:rsidR="00B2787F" w:rsidRPr="00A73C30" w:rsidRDefault="002A4EF8" w:rsidP="006D01AC">
            <w:pPr>
              <w:pStyle w:val="ListParagraph"/>
              <w:numPr>
                <w:ilvl w:val="0"/>
                <w:numId w:val="7"/>
              </w:numPr>
            </w:pPr>
            <w:r>
              <w:t>Technical support for the use of multi-media, equipment and technology resources.</w:t>
            </w:r>
          </w:p>
        </w:tc>
        <w:tc>
          <w:tcPr>
            <w:tcW w:w="990" w:type="dxa"/>
          </w:tcPr>
          <w:p w:rsidR="00B2787F" w:rsidRDefault="00B2787F" w:rsidP="00723BF0"/>
        </w:tc>
        <w:tc>
          <w:tcPr>
            <w:tcW w:w="0" w:type="auto"/>
          </w:tcPr>
          <w:p w:rsidR="00B2787F" w:rsidRDefault="00B2787F" w:rsidP="00723BF0"/>
        </w:tc>
      </w:tr>
      <w:tr w:rsidR="008455EF" w:rsidTr="00723BF0">
        <w:tc>
          <w:tcPr>
            <w:tcW w:w="0" w:type="auto"/>
            <w:vMerge/>
          </w:tcPr>
          <w:p w:rsidR="00B2787F" w:rsidRDefault="00B2787F" w:rsidP="00723BF0"/>
        </w:tc>
        <w:tc>
          <w:tcPr>
            <w:tcW w:w="5519" w:type="dxa"/>
          </w:tcPr>
          <w:p w:rsidR="00B2787F" w:rsidRPr="00C342A4" w:rsidRDefault="00A73C30" w:rsidP="00723BF0">
            <w:r>
              <w:t>5</w:t>
            </w:r>
            <w:r w:rsidR="00B2787F">
              <w:t xml:space="preserve">b) </w:t>
            </w:r>
            <w:r>
              <w:t>Appropriate suggestions and materials are provided for differentiated instruction supporting varying student needs at the unit and lesson level (e.g., alternative teaching approaches, pacing, instructional delivery options, suggestions for addressing comment student difficulties to meet standards, etc.).</w:t>
            </w:r>
          </w:p>
        </w:tc>
        <w:tc>
          <w:tcPr>
            <w:tcW w:w="990" w:type="dxa"/>
          </w:tcPr>
          <w:p w:rsidR="00B2787F" w:rsidRDefault="00B2787F" w:rsidP="00723BF0"/>
        </w:tc>
        <w:tc>
          <w:tcPr>
            <w:tcW w:w="0" w:type="auto"/>
          </w:tcPr>
          <w:p w:rsidR="00B2787F" w:rsidRDefault="00B2787F" w:rsidP="00723BF0"/>
        </w:tc>
      </w:tr>
      <w:tr w:rsidR="008455EF" w:rsidTr="002D1437">
        <w:tc>
          <w:tcPr>
            <w:tcW w:w="0" w:type="auto"/>
            <w:vMerge/>
            <w:tcBorders>
              <w:bottom w:val="single" w:sz="4" w:space="0" w:color="auto"/>
            </w:tcBorders>
          </w:tcPr>
          <w:p w:rsidR="00B2787F" w:rsidRDefault="00B2787F" w:rsidP="00723BF0"/>
        </w:tc>
        <w:tc>
          <w:tcPr>
            <w:tcW w:w="5519" w:type="dxa"/>
            <w:tcBorders>
              <w:bottom w:val="single" w:sz="4" w:space="0" w:color="auto"/>
            </w:tcBorders>
          </w:tcPr>
          <w:p w:rsidR="00505F16" w:rsidRDefault="00A73C30" w:rsidP="00723BF0">
            <w:r>
              <w:t xml:space="preserve">5c) </w:t>
            </w:r>
            <w:r w:rsidR="00505F16">
              <w:t xml:space="preserve">Instructional materials </w:t>
            </w:r>
            <w:r w:rsidR="000C3EE8">
              <w:t xml:space="preserve">are </w:t>
            </w:r>
            <w:r w:rsidR="00505F16">
              <w:t>accessible to students including</w:t>
            </w:r>
          </w:p>
          <w:p w:rsidR="00505F16" w:rsidRDefault="00505F16" w:rsidP="00505F16">
            <w:pPr>
              <w:pStyle w:val="ListParagraph"/>
              <w:numPr>
                <w:ilvl w:val="0"/>
                <w:numId w:val="8"/>
              </w:numPr>
            </w:pPr>
            <w:r>
              <w:t>Varied learning ability/disabilities;</w:t>
            </w:r>
          </w:p>
          <w:p w:rsidR="00505F16" w:rsidRDefault="00505F16" w:rsidP="00505F16">
            <w:pPr>
              <w:pStyle w:val="ListParagraph"/>
              <w:numPr>
                <w:ilvl w:val="0"/>
                <w:numId w:val="8"/>
              </w:numPr>
            </w:pPr>
            <w:r>
              <w:lastRenderedPageBreak/>
              <w:t>Special needs (e.g., auditory, visual, physical, speech, emotional);</w:t>
            </w:r>
          </w:p>
          <w:p w:rsidR="00505F16" w:rsidRDefault="00505F16" w:rsidP="00505F16">
            <w:pPr>
              <w:pStyle w:val="ListParagraph"/>
              <w:numPr>
                <w:ilvl w:val="0"/>
                <w:numId w:val="8"/>
              </w:numPr>
            </w:pPr>
            <w:r>
              <w:t>English language proficiency;</w:t>
            </w:r>
          </w:p>
          <w:p w:rsidR="00505F16" w:rsidRDefault="00505F16" w:rsidP="00505F16">
            <w:pPr>
              <w:pStyle w:val="ListParagraph"/>
              <w:numPr>
                <w:ilvl w:val="0"/>
                <w:numId w:val="8"/>
              </w:numPr>
            </w:pPr>
            <w:r>
              <w:t>Cultural differences;</w:t>
            </w:r>
          </w:p>
          <w:p w:rsidR="00505F16" w:rsidRDefault="00505F16" w:rsidP="00505F16">
            <w:pPr>
              <w:pStyle w:val="ListParagraph"/>
              <w:numPr>
                <w:ilvl w:val="0"/>
                <w:numId w:val="8"/>
              </w:numPr>
            </w:pPr>
            <w:r>
              <w:t>Different learning styles; and</w:t>
            </w:r>
          </w:p>
          <w:p w:rsidR="00B2787F" w:rsidRDefault="00505F16" w:rsidP="00505F16">
            <w:pPr>
              <w:pStyle w:val="ListParagraph"/>
              <w:numPr>
                <w:ilvl w:val="0"/>
                <w:numId w:val="8"/>
              </w:numPr>
            </w:pPr>
            <w:r>
              <w:t>Gender.</w:t>
            </w:r>
          </w:p>
        </w:tc>
        <w:tc>
          <w:tcPr>
            <w:tcW w:w="990" w:type="dxa"/>
            <w:tcBorders>
              <w:bottom w:val="single" w:sz="4" w:space="0" w:color="auto"/>
            </w:tcBorders>
          </w:tcPr>
          <w:p w:rsidR="00B2787F" w:rsidRDefault="00B2787F" w:rsidP="00723BF0"/>
        </w:tc>
        <w:tc>
          <w:tcPr>
            <w:tcW w:w="0" w:type="auto"/>
            <w:tcBorders>
              <w:bottom w:val="single" w:sz="4" w:space="0" w:color="auto"/>
            </w:tcBorders>
          </w:tcPr>
          <w:p w:rsidR="00B2787F" w:rsidRDefault="00B2787F" w:rsidP="00723BF0"/>
        </w:tc>
      </w:tr>
      <w:tr w:rsidR="008455EF" w:rsidTr="002D1437">
        <w:tc>
          <w:tcPr>
            <w:tcW w:w="0" w:type="auto"/>
            <w:shd w:val="clear" w:color="auto" w:fill="F2F2F2" w:themeFill="background1" w:themeFillShade="F2"/>
          </w:tcPr>
          <w:p w:rsidR="002D1437" w:rsidRPr="00C342A4" w:rsidRDefault="002D1437" w:rsidP="002D1437">
            <w:pPr>
              <w:jc w:val="center"/>
              <w:rPr>
                <w:b/>
              </w:rPr>
            </w:pPr>
            <w:r w:rsidRPr="00C342A4">
              <w:rPr>
                <w:b/>
              </w:rPr>
              <w:t>CRITERIA</w:t>
            </w:r>
          </w:p>
        </w:tc>
        <w:tc>
          <w:tcPr>
            <w:tcW w:w="5519" w:type="dxa"/>
            <w:shd w:val="clear" w:color="auto" w:fill="F2F2F2" w:themeFill="background1" w:themeFillShade="F2"/>
          </w:tcPr>
          <w:p w:rsidR="002D1437" w:rsidRPr="00C342A4" w:rsidRDefault="002D1437" w:rsidP="002D1437">
            <w:pPr>
              <w:jc w:val="center"/>
              <w:rPr>
                <w:b/>
              </w:rPr>
            </w:pPr>
            <w:r w:rsidRPr="00C342A4">
              <w:rPr>
                <w:b/>
              </w:rPr>
              <w:t>INDICATORS OF SUPERIOR QUALITY</w:t>
            </w:r>
          </w:p>
        </w:tc>
        <w:tc>
          <w:tcPr>
            <w:tcW w:w="990" w:type="dxa"/>
            <w:shd w:val="clear" w:color="auto" w:fill="F2F2F2" w:themeFill="background1" w:themeFillShade="F2"/>
          </w:tcPr>
          <w:p w:rsidR="00151FD8" w:rsidRDefault="00151FD8" w:rsidP="00151FD8">
            <w:pPr>
              <w:jc w:val="center"/>
              <w:rPr>
                <w:b/>
              </w:rPr>
            </w:pPr>
            <w:r>
              <w:rPr>
                <w:b/>
              </w:rPr>
              <w:t>RATING</w:t>
            </w:r>
          </w:p>
          <w:p w:rsidR="002D1437" w:rsidRPr="00C342A4" w:rsidRDefault="00151FD8" w:rsidP="00151FD8">
            <w:pPr>
              <w:jc w:val="center"/>
              <w:rPr>
                <w:b/>
              </w:rPr>
            </w:pPr>
            <w:r>
              <w:rPr>
                <w:b/>
              </w:rPr>
              <w:t>5, 3, 0</w:t>
            </w:r>
          </w:p>
        </w:tc>
        <w:tc>
          <w:tcPr>
            <w:tcW w:w="0" w:type="auto"/>
            <w:shd w:val="clear" w:color="auto" w:fill="F2F2F2" w:themeFill="background1" w:themeFillShade="F2"/>
          </w:tcPr>
          <w:p w:rsidR="002D1437" w:rsidRPr="00C342A4" w:rsidRDefault="002D1437" w:rsidP="002D1437">
            <w:pPr>
              <w:jc w:val="center"/>
              <w:rPr>
                <w:b/>
              </w:rPr>
            </w:pPr>
            <w:r w:rsidRPr="00C342A4">
              <w:rPr>
                <w:b/>
              </w:rPr>
              <w:t>COMMENTS WITH EXAMPLES</w:t>
            </w:r>
          </w:p>
        </w:tc>
      </w:tr>
      <w:tr w:rsidR="00EB35BA" w:rsidTr="00723BF0">
        <w:tc>
          <w:tcPr>
            <w:tcW w:w="0" w:type="auto"/>
            <w:vMerge w:val="restart"/>
          </w:tcPr>
          <w:p w:rsidR="00EB35BA" w:rsidRPr="00505F16" w:rsidRDefault="00EB35BA" w:rsidP="002D1437">
            <w:pPr>
              <w:rPr>
                <w:b/>
              </w:rPr>
            </w:pPr>
            <w:r>
              <w:t xml:space="preserve">(6) </w:t>
            </w:r>
            <w:r>
              <w:rPr>
                <w:b/>
              </w:rPr>
              <w:t>USABILITY</w:t>
            </w:r>
          </w:p>
          <w:p w:rsidR="00EB35BA" w:rsidRDefault="00EB35BA" w:rsidP="002D1437">
            <w:r>
              <w:t xml:space="preserve">Materials are easy to use, promote </w:t>
            </w:r>
          </w:p>
          <w:p w:rsidR="00EB35BA" w:rsidRDefault="00EB35BA" w:rsidP="002D1437">
            <w:r>
              <w:t>safety in the science classroom, and</w:t>
            </w:r>
          </w:p>
          <w:p w:rsidR="00EB35BA" w:rsidRDefault="00EB35BA" w:rsidP="002D1437">
            <w:r>
              <w:t xml:space="preserve">are viable for implementation </w:t>
            </w:r>
          </w:p>
          <w:p w:rsidR="00EB35BA" w:rsidRDefault="00EB35BA" w:rsidP="002D1437">
            <w:r>
              <w:t xml:space="preserve">given the length of a school year. </w:t>
            </w:r>
          </w:p>
          <w:p w:rsidR="00EB35BA" w:rsidRDefault="00EB35BA" w:rsidP="002D1437">
            <w:r>
              <w:t>The information is organized logically</w:t>
            </w:r>
          </w:p>
          <w:p w:rsidR="00EB35BA" w:rsidRDefault="008455EF" w:rsidP="002D1437">
            <w:r>
              <w:t>a</w:t>
            </w:r>
            <w:r w:rsidR="00EB35BA">
              <w:t>nd presented clearly using multiple</w:t>
            </w:r>
          </w:p>
          <w:p w:rsidR="00EB35BA" w:rsidRDefault="008455EF" w:rsidP="002D1437">
            <w:r>
              <w:t>m</w:t>
            </w:r>
            <w:r w:rsidR="00EB35BA">
              <w:t xml:space="preserve">ethods </w:t>
            </w:r>
          </w:p>
          <w:p w:rsidR="00EB35BA" w:rsidRDefault="00EB35BA" w:rsidP="002D1437"/>
          <w:p w:rsidR="00EB35BA" w:rsidRDefault="00EB35BA" w:rsidP="002D1437">
            <w:r>
              <w:t xml:space="preserve">        </w:t>
            </w:r>
            <w:sdt>
              <w:sdtPr>
                <w:id w:val="-886946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318277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EB35BA" w:rsidRDefault="00EB35BA" w:rsidP="002D1437"/>
        </w:tc>
        <w:tc>
          <w:tcPr>
            <w:tcW w:w="5519" w:type="dxa"/>
          </w:tcPr>
          <w:p w:rsidR="00EB35BA" w:rsidRPr="00505F16" w:rsidRDefault="00EB35BA" w:rsidP="002D1437">
            <w:r>
              <w:t>6a) The text provides clearly stated objectives for each lesson. It uses text features (e.g., titles, headings, subheadings, review questions, goals, objectives, space, print, grade appropriate type size, color) to enhance readability.</w:t>
            </w:r>
          </w:p>
        </w:tc>
        <w:tc>
          <w:tcPr>
            <w:tcW w:w="990" w:type="dxa"/>
          </w:tcPr>
          <w:p w:rsidR="00EB35BA" w:rsidRDefault="00EB35BA" w:rsidP="002D1437"/>
        </w:tc>
        <w:tc>
          <w:tcPr>
            <w:tcW w:w="0" w:type="auto"/>
          </w:tcPr>
          <w:p w:rsidR="00EB35BA" w:rsidRDefault="00EB35BA" w:rsidP="002D1437"/>
        </w:tc>
      </w:tr>
      <w:tr w:rsidR="00EB35BA" w:rsidTr="00723BF0">
        <w:tc>
          <w:tcPr>
            <w:tcW w:w="0" w:type="auto"/>
            <w:vMerge/>
          </w:tcPr>
          <w:p w:rsidR="00EB35BA" w:rsidRDefault="00EB35BA" w:rsidP="002D1437"/>
        </w:tc>
        <w:tc>
          <w:tcPr>
            <w:tcW w:w="5519" w:type="dxa"/>
          </w:tcPr>
          <w:p w:rsidR="00EB35BA" w:rsidRPr="00505F16" w:rsidRDefault="00EB35BA" w:rsidP="002D1437">
            <w:r>
              <w:t xml:space="preserve">6b) Materials help students build an understanding of standard operating procedures in a science laboratory and include </w:t>
            </w:r>
            <w:r>
              <w:rPr>
                <w:b/>
              </w:rPr>
              <w:t>safety guidelines</w:t>
            </w:r>
            <w:r>
              <w:t>, procedures, and equipment. Science classroom and laboratory safety guidelines are embedded in the materials.</w:t>
            </w:r>
          </w:p>
        </w:tc>
        <w:tc>
          <w:tcPr>
            <w:tcW w:w="990" w:type="dxa"/>
          </w:tcPr>
          <w:p w:rsidR="00EB35BA" w:rsidRDefault="00EB35BA" w:rsidP="002D1437"/>
        </w:tc>
        <w:tc>
          <w:tcPr>
            <w:tcW w:w="0" w:type="auto"/>
          </w:tcPr>
          <w:p w:rsidR="00EB35BA" w:rsidRDefault="00EB35BA" w:rsidP="002D1437"/>
        </w:tc>
      </w:tr>
      <w:tr w:rsidR="00EB35BA" w:rsidTr="00723BF0">
        <w:tc>
          <w:tcPr>
            <w:tcW w:w="0" w:type="auto"/>
            <w:vMerge/>
          </w:tcPr>
          <w:p w:rsidR="00EB35BA" w:rsidRDefault="00EB35BA" w:rsidP="002D1437"/>
        </w:tc>
        <w:tc>
          <w:tcPr>
            <w:tcW w:w="5519" w:type="dxa"/>
          </w:tcPr>
          <w:p w:rsidR="00EB35BA" w:rsidRPr="002D1437" w:rsidRDefault="00EB35BA" w:rsidP="002D1437">
            <w:r>
              <w:t xml:space="preserve">6c) The total amount of content is </w:t>
            </w:r>
            <w:r w:rsidRPr="002D1437">
              <w:rPr>
                <w:b/>
              </w:rPr>
              <w:t xml:space="preserve">viable </w:t>
            </w:r>
            <w:r>
              <w:t>for a school year.</w:t>
            </w:r>
          </w:p>
        </w:tc>
        <w:tc>
          <w:tcPr>
            <w:tcW w:w="990" w:type="dxa"/>
          </w:tcPr>
          <w:p w:rsidR="00EB35BA" w:rsidRDefault="00EB35BA" w:rsidP="002D1437"/>
        </w:tc>
        <w:tc>
          <w:tcPr>
            <w:tcW w:w="0" w:type="auto"/>
          </w:tcPr>
          <w:p w:rsidR="00EB35BA" w:rsidRDefault="00EB35BA" w:rsidP="002D1437"/>
        </w:tc>
      </w:tr>
      <w:tr w:rsidR="00EB35BA" w:rsidTr="00723BF0">
        <w:tc>
          <w:tcPr>
            <w:tcW w:w="0" w:type="auto"/>
            <w:vMerge/>
          </w:tcPr>
          <w:p w:rsidR="00EB35BA" w:rsidRDefault="00EB35BA" w:rsidP="002D1437"/>
        </w:tc>
        <w:tc>
          <w:tcPr>
            <w:tcW w:w="5519" w:type="dxa"/>
          </w:tcPr>
          <w:p w:rsidR="00EB35BA" w:rsidRDefault="00EB35BA" w:rsidP="002D1437">
            <w:r>
              <w:t>6d) The text incorporates a glossary, footnotes, recordings, pictures, and/or other features that aid students and teachers in using the book effectively.</w:t>
            </w:r>
          </w:p>
        </w:tc>
        <w:tc>
          <w:tcPr>
            <w:tcW w:w="990" w:type="dxa"/>
          </w:tcPr>
          <w:p w:rsidR="00EB35BA" w:rsidRDefault="00EB35BA" w:rsidP="002D1437"/>
        </w:tc>
        <w:tc>
          <w:tcPr>
            <w:tcW w:w="0" w:type="auto"/>
          </w:tcPr>
          <w:p w:rsidR="00EB35BA" w:rsidRDefault="00EB35BA" w:rsidP="002D1437"/>
        </w:tc>
      </w:tr>
      <w:tr w:rsidR="00EB35BA" w:rsidTr="00723BF0">
        <w:tc>
          <w:tcPr>
            <w:tcW w:w="0" w:type="auto"/>
            <w:vMerge/>
          </w:tcPr>
          <w:p w:rsidR="00EB35BA" w:rsidRDefault="00EB35BA" w:rsidP="002D1437"/>
        </w:tc>
        <w:tc>
          <w:tcPr>
            <w:tcW w:w="5519" w:type="dxa"/>
          </w:tcPr>
          <w:p w:rsidR="00EB35BA" w:rsidRDefault="00EB35BA" w:rsidP="002D1437">
            <w:r>
              <w:t xml:space="preserve">6e) The text and supplemental materials employs a variety of reading levels and is </w:t>
            </w:r>
            <w:r w:rsidRPr="006376D5">
              <w:rPr>
                <w:b/>
              </w:rPr>
              <w:t>grade/level appropriate</w:t>
            </w:r>
            <w:r>
              <w:t>.</w:t>
            </w:r>
          </w:p>
        </w:tc>
        <w:tc>
          <w:tcPr>
            <w:tcW w:w="990" w:type="dxa"/>
          </w:tcPr>
          <w:p w:rsidR="00EB35BA" w:rsidRDefault="00EB35BA" w:rsidP="002D1437"/>
        </w:tc>
        <w:tc>
          <w:tcPr>
            <w:tcW w:w="0" w:type="auto"/>
          </w:tcPr>
          <w:p w:rsidR="00EB35BA" w:rsidRDefault="00EB35BA" w:rsidP="002D1437"/>
        </w:tc>
      </w:tr>
      <w:tr w:rsidR="00EB35BA" w:rsidTr="00723BF0">
        <w:tc>
          <w:tcPr>
            <w:tcW w:w="0" w:type="auto"/>
            <w:vMerge/>
          </w:tcPr>
          <w:p w:rsidR="00EB35BA" w:rsidRDefault="00EB35BA" w:rsidP="002D1437"/>
        </w:tc>
        <w:tc>
          <w:tcPr>
            <w:tcW w:w="5519" w:type="dxa"/>
          </w:tcPr>
          <w:p w:rsidR="00EB35BA" w:rsidRDefault="00EB35BA" w:rsidP="002D1437">
            <w:r>
              <w:t>6f) The text and supplemental materials provides ample materials that reinforce student learning through practice.</w:t>
            </w:r>
          </w:p>
        </w:tc>
        <w:tc>
          <w:tcPr>
            <w:tcW w:w="990" w:type="dxa"/>
          </w:tcPr>
          <w:p w:rsidR="00EB35BA" w:rsidRDefault="00EB35BA" w:rsidP="002D1437"/>
        </w:tc>
        <w:tc>
          <w:tcPr>
            <w:tcW w:w="0" w:type="auto"/>
          </w:tcPr>
          <w:p w:rsidR="00EB35BA" w:rsidRDefault="00EB35BA" w:rsidP="002D1437"/>
        </w:tc>
      </w:tr>
      <w:tr w:rsidR="00EB35BA" w:rsidTr="00723BF0">
        <w:tc>
          <w:tcPr>
            <w:tcW w:w="0" w:type="auto"/>
            <w:vMerge/>
          </w:tcPr>
          <w:p w:rsidR="00EB35BA" w:rsidRDefault="00EB35BA" w:rsidP="002D1437"/>
        </w:tc>
        <w:tc>
          <w:tcPr>
            <w:tcW w:w="5519" w:type="dxa"/>
          </w:tcPr>
          <w:p w:rsidR="00EB35BA" w:rsidRDefault="00EB35BA" w:rsidP="002D1437">
            <w:r>
              <w:t>6g) All supplemental materials are aligned to the text content with a clear match to content.</w:t>
            </w:r>
          </w:p>
        </w:tc>
        <w:tc>
          <w:tcPr>
            <w:tcW w:w="990" w:type="dxa"/>
          </w:tcPr>
          <w:p w:rsidR="00EB35BA" w:rsidRDefault="00EB35BA" w:rsidP="002D1437"/>
        </w:tc>
        <w:tc>
          <w:tcPr>
            <w:tcW w:w="0" w:type="auto"/>
          </w:tcPr>
          <w:p w:rsidR="00EB35BA" w:rsidRDefault="00EB35BA" w:rsidP="002D1437"/>
        </w:tc>
      </w:tr>
      <w:tr w:rsidR="00EB35BA" w:rsidTr="00F51FFF">
        <w:tc>
          <w:tcPr>
            <w:tcW w:w="0" w:type="auto"/>
            <w:vMerge/>
            <w:tcBorders>
              <w:bottom w:val="single" w:sz="4" w:space="0" w:color="auto"/>
            </w:tcBorders>
          </w:tcPr>
          <w:p w:rsidR="00EB35BA" w:rsidRDefault="00EB35BA" w:rsidP="002D1437"/>
        </w:tc>
        <w:tc>
          <w:tcPr>
            <w:tcW w:w="5519" w:type="dxa"/>
            <w:tcBorders>
              <w:bottom w:val="single" w:sz="4" w:space="0" w:color="auto"/>
            </w:tcBorders>
          </w:tcPr>
          <w:p w:rsidR="00EB35BA" w:rsidRDefault="00EB35BA" w:rsidP="002D1437">
            <w:r>
              <w:t>6h) Supplemental materials provide a variety of resources for student learning activities (e.g., incorporating science journals/writing, cooperative group work, graphic organizers, etc.).</w:t>
            </w:r>
          </w:p>
          <w:p w:rsidR="00EB35BA" w:rsidRDefault="00EB35BA" w:rsidP="002D1437"/>
          <w:p w:rsidR="00151FD8" w:rsidRDefault="00151FD8" w:rsidP="002D1437"/>
          <w:p w:rsidR="00151FD8" w:rsidRDefault="00151FD8" w:rsidP="002D1437"/>
          <w:p w:rsidR="00151FD8" w:rsidRDefault="00151FD8" w:rsidP="002D1437"/>
        </w:tc>
        <w:tc>
          <w:tcPr>
            <w:tcW w:w="990" w:type="dxa"/>
            <w:tcBorders>
              <w:bottom w:val="single" w:sz="4" w:space="0" w:color="auto"/>
            </w:tcBorders>
          </w:tcPr>
          <w:p w:rsidR="00EB35BA" w:rsidRDefault="00EB35BA" w:rsidP="002D1437"/>
        </w:tc>
        <w:tc>
          <w:tcPr>
            <w:tcW w:w="0" w:type="auto"/>
            <w:tcBorders>
              <w:bottom w:val="single" w:sz="4" w:space="0" w:color="auto"/>
            </w:tcBorders>
          </w:tcPr>
          <w:p w:rsidR="00EB35BA" w:rsidRDefault="00EB35BA" w:rsidP="002D1437"/>
        </w:tc>
      </w:tr>
      <w:tr w:rsidR="00F51FFF" w:rsidTr="00F51FFF">
        <w:trPr>
          <w:trHeight w:val="890"/>
        </w:trPr>
        <w:tc>
          <w:tcPr>
            <w:tcW w:w="0" w:type="auto"/>
            <w:shd w:val="clear" w:color="auto" w:fill="F2F2F2" w:themeFill="background1" w:themeFillShade="F2"/>
          </w:tcPr>
          <w:p w:rsidR="00F51FFF" w:rsidRPr="00C342A4" w:rsidRDefault="00F51FFF" w:rsidP="00F51FFF">
            <w:pPr>
              <w:jc w:val="center"/>
              <w:rPr>
                <w:b/>
              </w:rPr>
            </w:pPr>
            <w:r w:rsidRPr="00C342A4">
              <w:rPr>
                <w:b/>
              </w:rPr>
              <w:lastRenderedPageBreak/>
              <w:t>CRITERIA</w:t>
            </w:r>
          </w:p>
        </w:tc>
        <w:tc>
          <w:tcPr>
            <w:tcW w:w="5519" w:type="dxa"/>
            <w:shd w:val="clear" w:color="auto" w:fill="F2F2F2" w:themeFill="background1" w:themeFillShade="F2"/>
          </w:tcPr>
          <w:p w:rsidR="00F51FFF" w:rsidRPr="00C342A4" w:rsidRDefault="00F51FFF" w:rsidP="00F51FFF">
            <w:pPr>
              <w:jc w:val="center"/>
              <w:rPr>
                <w:b/>
              </w:rPr>
            </w:pPr>
            <w:r w:rsidRPr="00C342A4">
              <w:rPr>
                <w:b/>
              </w:rPr>
              <w:t>INDICATORS OF SUPERIOR QUALITY</w:t>
            </w:r>
          </w:p>
        </w:tc>
        <w:tc>
          <w:tcPr>
            <w:tcW w:w="990" w:type="dxa"/>
            <w:shd w:val="clear" w:color="auto" w:fill="F2F2F2" w:themeFill="background1" w:themeFillShade="F2"/>
          </w:tcPr>
          <w:p w:rsidR="00151FD8" w:rsidRDefault="00151FD8" w:rsidP="00151FD8">
            <w:pPr>
              <w:jc w:val="center"/>
              <w:rPr>
                <w:b/>
              </w:rPr>
            </w:pPr>
            <w:r>
              <w:rPr>
                <w:b/>
              </w:rPr>
              <w:t>RATING</w:t>
            </w:r>
          </w:p>
          <w:p w:rsidR="00F51FFF" w:rsidRPr="00C342A4" w:rsidRDefault="00151FD8" w:rsidP="00151FD8">
            <w:pPr>
              <w:jc w:val="center"/>
              <w:rPr>
                <w:b/>
              </w:rPr>
            </w:pPr>
            <w:r>
              <w:rPr>
                <w:b/>
              </w:rPr>
              <w:t>5, 3, 0</w:t>
            </w:r>
          </w:p>
        </w:tc>
        <w:tc>
          <w:tcPr>
            <w:tcW w:w="0" w:type="auto"/>
            <w:shd w:val="clear" w:color="auto" w:fill="F2F2F2" w:themeFill="background1" w:themeFillShade="F2"/>
          </w:tcPr>
          <w:p w:rsidR="00F51FFF" w:rsidRPr="00C342A4" w:rsidRDefault="00F51FFF" w:rsidP="00F51FFF">
            <w:pPr>
              <w:jc w:val="center"/>
              <w:rPr>
                <w:b/>
              </w:rPr>
            </w:pPr>
            <w:r w:rsidRPr="00C342A4">
              <w:rPr>
                <w:b/>
              </w:rPr>
              <w:t>COMMENTS WITH EXAMPLES</w:t>
            </w:r>
          </w:p>
        </w:tc>
      </w:tr>
      <w:tr w:rsidR="008455EF" w:rsidTr="00723BF0">
        <w:trPr>
          <w:trHeight w:val="1208"/>
        </w:trPr>
        <w:tc>
          <w:tcPr>
            <w:tcW w:w="0" w:type="auto"/>
            <w:vMerge w:val="restart"/>
          </w:tcPr>
          <w:p w:rsidR="002D1437" w:rsidRDefault="002D1437" w:rsidP="002D1437">
            <w:r>
              <w:t xml:space="preserve">(7) </w:t>
            </w:r>
            <w:r>
              <w:rPr>
                <w:b/>
              </w:rPr>
              <w:t>ASSESSMENT</w:t>
            </w:r>
          </w:p>
          <w:p w:rsidR="002D1437" w:rsidRDefault="002D1437" w:rsidP="002D1437">
            <w:r>
              <w:t xml:space="preserve">Materials offer assessment </w:t>
            </w:r>
          </w:p>
          <w:p w:rsidR="002D1437" w:rsidRDefault="002D1437" w:rsidP="002D1437">
            <w:r>
              <w:t xml:space="preserve">opportunities that genuinely </w:t>
            </w:r>
          </w:p>
          <w:p w:rsidR="002D1437" w:rsidRDefault="002D1437" w:rsidP="002D1437">
            <w:r>
              <w:t xml:space="preserve">measure progress and elicit </w:t>
            </w:r>
          </w:p>
          <w:p w:rsidR="002D1437" w:rsidRDefault="002D1437" w:rsidP="002D1437">
            <w:r>
              <w:t xml:space="preserve">direct, observable evidence of </w:t>
            </w:r>
          </w:p>
          <w:p w:rsidR="002D1437" w:rsidRDefault="002D1437" w:rsidP="002D1437">
            <w:r>
              <w:t xml:space="preserve">the degree to which students can </w:t>
            </w:r>
          </w:p>
          <w:p w:rsidR="002D1437" w:rsidRDefault="002D1437" w:rsidP="002D1437">
            <w:r>
              <w:t xml:space="preserve">independently demonstrate the </w:t>
            </w:r>
          </w:p>
          <w:p w:rsidR="002D1437" w:rsidRDefault="002D1437" w:rsidP="002D1437">
            <w:r>
              <w:t xml:space="preserve">assessed </w:t>
            </w:r>
            <w:r w:rsidR="00C77EF2">
              <w:t>standards.</w:t>
            </w:r>
          </w:p>
          <w:p w:rsidR="002D1437" w:rsidRDefault="002D1437" w:rsidP="002D1437"/>
          <w:p w:rsidR="002D1437" w:rsidRDefault="002D1437" w:rsidP="002D1437">
            <w:r>
              <w:t xml:space="preserve">       </w:t>
            </w:r>
            <w:sdt>
              <w:sdtPr>
                <w:id w:val="-7982286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805911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2D1437" w:rsidRPr="003663F2" w:rsidRDefault="002D1437" w:rsidP="002D1437"/>
        </w:tc>
        <w:tc>
          <w:tcPr>
            <w:tcW w:w="5519" w:type="dxa"/>
          </w:tcPr>
          <w:p w:rsidR="002D1437" w:rsidRPr="000C3EE8" w:rsidRDefault="002D1437" w:rsidP="002D1437">
            <w:r>
              <w:t xml:space="preserve">7a) </w:t>
            </w:r>
            <w:r w:rsidR="000C3EE8">
              <w:rPr>
                <w:b/>
              </w:rPr>
              <w:t>Multiple types</w:t>
            </w:r>
            <w:r w:rsidR="000C3EE8">
              <w:t xml:space="preserve"> of formative and summative assessments (performance-based tasks, questions, research, investigations, and projects) are embedded into the content material</w:t>
            </w:r>
            <w:r w:rsidR="006376D5">
              <w:t>s and assess the learning target</w:t>
            </w:r>
            <w:r w:rsidR="000C3EE8">
              <w:t>s.</w:t>
            </w:r>
          </w:p>
        </w:tc>
        <w:tc>
          <w:tcPr>
            <w:tcW w:w="990" w:type="dxa"/>
          </w:tcPr>
          <w:p w:rsidR="002D1437" w:rsidRDefault="002D1437" w:rsidP="002D1437"/>
        </w:tc>
        <w:tc>
          <w:tcPr>
            <w:tcW w:w="0" w:type="auto"/>
          </w:tcPr>
          <w:p w:rsidR="002D1437" w:rsidRDefault="002D1437" w:rsidP="002D1437"/>
        </w:tc>
      </w:tr>
      <w:tr w:rsidR="008455EF" w:rsidTr="00723BF0">
        <w:trPr>
          <w:trHeight w:val="1152"/>
        </w:trPr>
        <w:tc>
          <w:tcPr>
            <w:tcW w:w="0" w:type="auto"/>
            <w:vMerge/>
            <w:tcBorders>
              <w:bottom w:val="single" w:sz="4" w:space="0" w:color="auto"/>
            </w:tcBorders>
          </w:tcPr>
          <w:p w:rsidR="002D1437" w:rsidRDefault="002D1437" w:rsidP="002D1437"/>
        </w:tc>
        <w:tc>
          <w:tcPr>
            <w:tcW w:w="5519" w:type="dxa"/>
            <w:tcBorders>
              <w:bottom w:val="single" w:sz="4" w:space="0" w:color="auto"/>
            </w:tcBorders>
          </w:tcPr>
          <w:p w:rsidR="002D1437" w:rsidRPr="006376D5" w:rsidRDefault="006376D5" w:rsidP="002D1437">
            <w:r>
              <w:t>7</w:t>
            </w:r>
            <w:r w:rsidR="002D1437">
              <w:t xml:space="preserve">b) </w:t>
            </w:r>
            <w:r>
              <w:t>The assessment materials include embedded assessments that reflect a variety of knowledge levels.</w:t>
            </w:r>
          </w:p>
        </w:tc>
        <w:tc>
          <w:tcPr>
            <w:tcW w:w="990" w:type="dxa"/>
            <w:tcBorders>
              <w:bottom w:val="single" w:sz="4" w:space="0" w:color="auto"/>
            </w:tcBorders>
          </w:tcPr>
          <w:p w:rsidR="002D1437" w:rsidRDefault="002D1437" w:rsidP="002D1437"/>
        </w:tc>
        <w:tc>
          <w:tcPr>
            <w:tcW w:w="0" w:type="auto"/>
            <w:tcBorders>
              <w:bottom w:val="single" w:sz="4" w:space="0" w:color="auto"/>
            </w:tcBorders>
          </w:tcPr>
          <w:p w:rsidR="002D1437" w:rsidRDefault="002D1437" w:rsidP="002D1437"/>
        </w:tc>
      </w:tr>
      <w:tr w:rsidR="000C3EE8" w:rsidTr="00723BF0">
        <w:trPr>
          <w:trHeight w:val="1207"/>
        </w:trPr>
        <w:tc>
          <w:tcPr>
            <w:tcW w:w="0" w:type="auto"/>
            <w:vMerge/>
          </w:tcPr>
          <w:p w:rsidR="002D1437" w:rsidRDefault="002D1437" w:rsidP="002D1437"/>
        </w:tc>
        <w:tc>
          <w:tcPr>
            <w:tcW w:w="5519" w:type="dxa"/>
          </w:tcPr>
          <w:p w:rsidR="002D1437" w:rsidRPr="00527B3D" w:rsidRDefault="006376D5" w:rsidP="002D1437">
            <w:r>
              <w:t>7c) The assessment materials provide evaluation measures that supports differentiated learning activities.</w:t>
            </w:r>
          </w:p>
        </w:tc>
        <w:tc>
          <w:tcPr>
            <w:tcW w:w="990" w:type="dxa"/>
          </w:tcPr>
          <w:p w:rsidR="002D1437" w:rsidRDefault="002D1437" w:rsidP="002D1437"/>
        </w:tc>
        <w:tc>
          <w:tcPr>
            <w:tcW w:w="0" w:type="auto"/>
          </w:tcPr>
          <w:p w:rsidR="002D1437" w:rsidRDefault="002D1437" w:rsidP="002D1437"/>
        </w:tc>
      </w:tr>
      <w:tr w:rsidR="000C3EE8" w:rsidTr="00571D38">
        <w:trPr>
          <w:trHeight w:val="890"/>
        </w:trPr>
        <w:tc>
          <w:tcPr>
            <w:tcW w:w="0" w:type="auto"/>
            <w:vMerge/>
          </w:tcPr>
          <w:p w:rsidR="002D1437" w:rsidRDefault="002D1437" w:rsidP="002D1437"/>
        </w:tc>
        <w:tc>
          <w:tcPr>
            <w:tcW w:w="5519" w:type="dxa"/>
          </w:tcPr>
          <w:p w:rsidR="002D1437" w:rsidRDefault="006376D5" w:rsidP="002D1437">
            <w:r>
              <w:t>7d</w:t>
            </w:r>
            <w:r w:rsidR="002D1437">
              <w:t xml:space="preserve">) </w:t>
            </w:r>
            <w:r>
              <w:t>Scoring guidelines and rubrics align to performance expectations, and incorporate criteria that are specific, observable, and measurable.</w:t>
            </w:r>
          </w:p>
        </w:tc>
        <w:tc>
          <w:tcPr>
            <w:tcW w:w="990" w:type="dxa"/>
          </w:tcPr>
          <w:p w:rsidR="002D1437" w:rsidRDefault="002D1437" w:rsidP="002D1437"/>
        </w:tc>
        <w:tc>
          <w:tcPr>
            <w:tcW w:w="0" w:type="auto"/>
          </w:tcPr>
          <w:p w:rsidR="002D1437" w:rsidRDefault="002D1437" w:rsidP="002D1437"/>
        </w:tc>
      </w:tr>
      <w:tr w:rsidR="00571D38" w:rsidTr="00571D38">
        <w:trPr>
          <w:trHeight w:val="890"/>
        </w:trPr>
        <w:tc>
          <w:tcPr>
            <w:tcW w:w="0" w:type="auto"/>
          </w:tcPr>
          <w:p w:rsidR="00571D38" w:rsidRPr="00571D38" w:rsidRDefault="00571D38" w:rsidP="00571D38">
            <w:pPr>
              <w:rPr>
                <w:b/>
              </w:rPr>
            </w:pPr>
            <w:r w:rsidRPr="00571D38">
              <w:rPr>
                <w:b/>
              </w:rPr>
              <w:t>TOTAL SCORE</w:t>
            </w:r>
            <w:r>
              <w:rPr>
                <w:b/>
              </w:rPr>
              <w:t xml:space="preserve"> (PART </w:t>
            </w:r>
            <w:r>
              <w:rPr>
                <w:b/>
              </w:rPr>
              <w:t>2</w:t>
            </w:r>
            <w:r>
              <w:rPr>
                <w:b/>
              </w:rPr>
              <w:t>)</w:t>
            </w:r>
          </w:p>
        </w:tc>
        <w:tc>
          <w:tcPr>
            <w:tcW w:w="5519" w:type="dxa"/>
          </w:tcPr>
          <w:p w:rsidR="00571D38" w:rsidRDefault="00571D38" w:rsidP="00571D38"/>
        </w:tc>
        <w:tc>
          <w:tcPr>
            <w:tcW w:w="990" w:type="dxa"/>
            <w:shd w:val="clear" w:color="auto" w:fill="F2F2F2" w:themeFill="background1" w:themeFillShade="F2"/>
          </w:tcPr>
          <w:p w:rsidR="00571D38" w:rsidRDefault="00571D38" w:rsidP="00571D38"/>
        </w:tc>
        <w:tc>
          <w:tcPr>
            <w:tcW w:w="0" w:type="auto"/>
          </w:tcPr>
          <w:p w:rsidR="00571D38" w:rsidRDefault="00571D38" w:rsidP="00571D38"/>
        </w:tc>
      </w:tr>
      <w:tr w:rsidR="00571D38" w:rsidTr="00571D38">
        <w:trPr>
          <w:trHeight w:val="890"/>
        </w:trPr>
        <w:tc>
          <w:tcPr>
            <w:tcW w:w="0" w:type="auto"/>
          </w:tcPr>
          <w:p w:rsidR="00571D38" w:rsidRPr="00571D38" w:rsidRDefault="00571D38" w:rsidP="00571D38">
            <w:pPr>
              <w:rPr>
                <w:b/>
              </w:rPr>
            </w:pPr>
            <w:r w:rsidRPr="00571D38">
              <w:rPr>
                <w:b/>
              </w:rPr>
              <w:t>TOTAL SCORE (PART 1 and 2)</w:t>
            </w:r>
          </w:p>
        </w:tc>
        <w:tc>
          <w:tcPr>
            <w:tcW w:w="5519" w:type="dxa"/>
          </w:tcPr>
          <w:p w:rsidR="00571D38" w:rsidRDefault="00571D38" w:rsidP="00571D38"/>
        </w:tc>
        <w:tc>
          <w:tcPr>
            <w:tcW w:w="990" w:type="dxa"/>
            <w:shd w:val="clear" w:color="auto" w:fill="D9D9D9" w:themeFill="background1" w:themeFillShade="D9"/>
          </w:tcPr>
          <w:p w:rsidR="00571D38" w:rsidRDefault="00571D38" w:rsidP="00571D38"/>
        </w:tc>
        <w:tc>
          <w:tcPr>
            <w:tcW w:w="0" w:type="auto"/>
          </w:tcPr>
          <w:p w:rsidR="00571D38" w:rsidRDefault="00571D38" w:rsidP="00571D38"/>
        </w:tc>
      </w:tr>
    </w:tbl>
    <w:p w:rsidR="00B2787F" w:rsidRDefault="00B2787F">
      <w:bookmarkStart w:id="0" w:name="_GoBack"/>
      <w:bookmarkEnd w:id="0"/>
    </w:p>
    <w:sectPr w:rsidR="00B2787F" w:rsidSect="00ED7AA9">
      <w:pgSz w:w="15840" w:h="12240" w:orient="landscape" w:code="1"/>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31A3"/>
    <w:multiLevelType w:val="hybridMultilevel"/>
    <w:tmpl w:val="E0C69130"/>
    <w:lvl w:ilvl="0" w:tplc="74C2BF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267E3"/>
    <w:multiLevelType w:val="hybridMultilevel"/>
    <w:tmpl w:val="957A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145CF"/>
    <w:multiLevelType w:val="hybridMultilevel"/>
    <w:tmpl w:val="AB08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B774E"/>
    <w:multiLevelType w:val="hybridMultilevel"/>
    <w:tmpl w:val="645A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9790F"/>
    <w:multiLevelType w:val="hybridMultilevel"/>
    <w:tmpl w:val="EE62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47D7A"/>
    <w:multiLevelType w:val="hybridMultilevel"/>
    <w:tmpl w:val="C3DE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C70DD1"/>
    <w:multiLevelType w:val="hybridMultilevel"/>
    <w:tmpl w:val="AD96F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32A93"/>
    <w:multiLevelType w:val="hybridMultilevel"/>
    <w:tmpl w:val="E2EA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A7"/>
    <w:rsid w:val="000C3EE8"/>
    <w:rsid w:val="00151FD8"/>
    <w:rsid w:val="001C1FA6"/>
    <w:rsid w:val="002A4EF8"/>
    <w:rsid w:val="002D1437"/>
    <w:rsid w:val="003663F2"/>
    <w:rsid w:val="00505F16"/>
    <w:rsid w:val="00527B3D"/>
    <w:rsid w:val="00571D38"/>
    <w:rsid w:val="006376D5"/>
    <w:rsid w:val="006D01AC"/>
    <w:rsid w:val="007747EF"/>
    <w:rsid w:val="008455EF"/>
    <w:rsid w:val="00987F47"/>
    <w:rsid w:val="00A73C30"/>
    <w:rsid w:val="00B2787F"/>
    <w:rsid w:val="00C342A4"/>
    <w:rsid w:val="00C77EF2"/>
    <w:rsid w:val="00D80ED6"/>
    <w:rsid w:val="00D944A7"/>
    <w:rsid w:val="00DB37E3"/>
    <w:rsid w:val="00E938CF"/>
    <w:rsid w:val="00EB35BA"/>
    <w:rsid w:val="00ED7AA9"/>
    <w:rsid w:val="00F5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7ABC"/>
  <w15:chartTrackingRefBased/>
  <w15:docId w15:val="{340D2FAB-9E22-4C92-98C9-AE356832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Sampsell</dc:creator>
  <cp:keywords/>
  <dc:description/>
  <cp:lastModifiedBy>Jacquelyn Sampsell</cp:lastModifiedBy>
  <cp:revision>2</cp:revision>
  <dcterms:created xsi:type="dcterms:W3CDTF">2017-07-24T19:47:00Z</dcterms:created>
  <dcterms:modified xsi:type="dcterms:W3CDTF">2017-07-24T19:47:00Z</dcterms:modified>
</cp:coreProperties>
</file>